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0E92C" w14:textId="38A82EE6" w:rsidR="001F215E" w:rsidRPr="00B72BD5" w:rsidRDefault="001F215E" w:rsidP="00334B32">
      <w:pPr>
        <w:pStyle w:val="NoSpacing"/>
        <w:rPr>
          <w:rFonts w:asciiTheme="majorHAnsi" w:hAnsiTheme="majorHAnsi" w:cstheme="majorHAnsi"/>
          <w:b/>
          <w:bCs/>
          <w:caps/>
          <w:color w:val="133520" w:themeColor="accent5" w:themeShade="80"/>
          <w:sz w:val="40"/>
          <w:szCs w:val="40"/>
          <w:lang w:val="en-ZA"/>
        </w:rPr>
      </w:pPr>
      <w:r w:rsidRPr="00B72BD5">
        <w:rPr>
          <w:rFonts w:asciiTheme="majorHAnsi" w:hAnsiTheme="majorHAnsi" w:cstheme="majorHAnsi"/>
          <w:b/>
          <w:bCs/>
          <w:caps/>
          <w:color w:val="133520" w:themeColor="accent5" w:themeShade="80"/>
          <w:sz w:val="40"/>
          <w:szCs w:val="40"/>
          <w:lang w:val="en-ZA"/>
        </w:rPr>
        <w:t xml:space="preserve">INCLUsion, acceptance and </w:t>
      </w:r>
      <w:r w:rsidRPr="007F3E6D">
        <w:rPr>
          <w:rFonts w:asciiTheme="majorHAnsi" w:hAnsiTheme="majorHAnsi" w:cstheme="majorHAnsi"/>
          <w:b/>
          <w:bCs/>
          <w:caps/>
          <w:color w:val="133520" w:themeColor="accent5" w:themeShade="80"/>
          <w:sz w:val="40"/>
          <w:szCs w:val="40"/>
          <w:lang w:val="en-ZA"/>
        </w:rPr>
        <w:t>safety</w:t>
      </w:r>
      <w:r w:rsidR="00F12BA8" w:rsidRPr="007F3E6D">
        <w:rPr>
          <w:rFonts w:asciiTheme="majorHAnsi" w:hAnsiTheme="majorHAnsi" w:cstheme="majorHAnsi"/>
          <w:b/>
          <w:bCs/>
          <w:caps/>
          <w:color w:val="133520" w:themeColor="accent5" w:themeShade="80"/>
          <w:sz w:val="40"/>
          <w:szCs w:val="40"/>
          <w:lang w:val="en-ZA"/>
        </w:rPr>
        <w:t xml:space="preserve"> – </w:t>
      </w:r>
      <w:r w:rsidR="0097643B" w:rsidRPr="007F3E6D">
        <w:rPr>
          <w:rFonts w:asciiTheme="majorHAnsi" w:hAnsiTheme="majorHAnsi" w:cstheme="majorHAnsi"/>
          <w:b/>
          <w:bCs/>
          <w:caps/>
          <w:color w:val="133520" w:themeColor="accent5" w:themeShade="80"/>
          <w:sz w:val="40"/>
          <w:szCs w:val="40"/>
          <w:lang w:val="en-ZA"/>
        </w:rPr>
        <w:t>ENHANCING PARTNER RESPONSES</w:t>
      </w:r>
    </w:p>
    <w:p w14:paraId="6FCE0C8E" w14:textId="77777777" w:rsidR="001F215E" w:rsidRPr="00B72BD5" w:rsidRDefault="001F215E" w:rsidP="00334B32">
      <w:pPr>
        <w:pStyle w:val="NoSpacing"/>
        <w:ind w:left="357"/>
        <w:rPr>
          <w:rFonts w:asciiTheme="majorHAnsi" w:hAnsiTheme="majorHAnsi" w:cstheme="majorHAnsi"/>
          <w:b/>
          <w:bCs/>
          <w:caps/>
          <w:color w:val="7F7F7F" w:themeColor="text1" w:themeTint="80"/>
          <w:sz w:val="28"/>
          <w:szCs w:val="28"/>
          <w:lang w:val="en-ZA"/>
        </w:rPr>
      </w:pPr>
      <w:r w:rsidRPr="00B72BD5">
        <w:rPr>
          <w:rFonts w:asciiTheme="majorHAnsi" w:hAnsiTheme="majorHAnsi" w:cstheme="majorHAnsi"/>
          <w:b/>
          <w:bCs/>
          <w:caps/>
          <w:color w:val="7F7F7F" w:themeColor="text1" w:themeTint="80"/>
          <w:sz w:val="28"/>
          <w:szCs w:val="28"/>
          <w:lang w:val="en-ZA"/>
        </w:rPr>
        <w:t xml:space="preserve">addressing MARGINALISED &amp; VULNERABLE youth </w:t>
      </w:r>
    </w:p>
    <w:p w14:paraId="4EC4A00B" w14:textId="67EE516C" w:rsidR="001F215E" w:rsidRPr="00B72BD5" w:rsidRDefault="001F215E" w:rsidP="00334B32">
      <w:pPr>
        <w:pStyle w:val="NoSpacing"/>
        <w:ind w:left="357"/>
        <w:rPr>
          <w:rFonts w:asciiTheme="majorHAnsi" w:hAnsiTheme="majorHAnsi" w:cstheme="majorHAnsi"/>
          <w:b/>
          <w:bCs/>
          <w:caps/>
          <w:color w:val="7F7F7F" w:themeColor="text1" w:themeTint="80"/>
          <w:sz w:val="28"/>
          <w:szCs w:val="28"/>
          <w:lang w:val="en-ZA"/>
        </w:rPr>
      </w:pPr>
      <w:r w:rsidRPr="00B72BD5">
        <w:rPr>
          <w:rFonts w:asciiTheme="majorHAnsi" w:hAnsiTheme="majorHAnsi" w:cstheme="majorHAnsi"/>
          <w:b/>
          <w:bCs/>
          <w:caps/>
          <w:color w:val="7F7F7F" w:themeColor="text1" w:themeTint="80"/>
          <w:sz w:val="28"/>
          <w:szCs w:val="28"/>
          <w:lang w:val="en-ZA"/>
        </w:rPr>
        <w:t>IN</w:t>
      </w:r>
      <w:r w:rsidR="007676C6">
        <w:rPr>
          <w:rFonts w:asciiTheme="majorHAnsi" w:hAnsiTheme="majorHAnsi" w:cstheme="majorHAnsi"/>
          <w:b/>
          <w:bCs/>
          <w:caps/>
          <w:color w:val="7F7F7F" w:themeColor="text1" w:themeTint="80"/>
          <w:sz w:val="28"/>
          <w:szCs w:val="28"/>
          <w:lang w:val="en-ZA"/>
        </w:rPr>
        <w:t xml:space="preserve"> </w:t>
      </w:r>
      <w:r w:rsidRPr="00B72BD5">
        <w:rPr>
          <w:rFonts w:asciiTheme="majorHAnsi" w:hAnsiTheme="majorHAnsi" w:cstheme="majorHAnsi"/>
          <w:b/>
          <w:bCs/>
          <w:caps/>
          <w:color w:val="7F7F7F" w:themeColor="text1" w:themeTint="80"/>
          <w:sz w:val="28"/>
          <w:szCs w:val="28"/>
          <w:lang w:val="en-ZA"/>
        </w:rPr>
        <w:t>Namibian COMMUNIT</w:t>
      </w:r>
      <w:r w:rsidR="007676C6">
        <w:rPr>
          <w:rFonts w:asciiTheme="majorHAnsi" w:hAnsiTheme="majorHAnsi" w:cstheme="majorHAnsi"/>
          <w:b/>
          <w:bCs/>
          <w:caps/>
          <w:color w:val="7F7F7F" w:themeColor="text1" w:themeTint="80"/>
          <w:sz w:val="28"/>
          <w:szCs w:val="28"/>
          <w:lang w:val="en-ZA"/>
        </w:rPr>
        <w:t>Y</w:t>
      </w:r>
      <w:r w:rsidRPr="00B72BD5">
        <w:rPr>
          <w:rFonts w:asciiTheme="majorHAnsi" w:hAnsiTheme="majorHAnsi" w:cstheme="majorHAnsi"/>
          <w:b/>
          <w:bCs/>
          <w:caps/>
          <w:color w:val="7F7F7F" w:themeColor="text1" w:themeTint="80"/>
          <w:sz w:val="28"/>
          <w:szCs w:val="28"/>
          <w:lang w:val="en-ZA"/>
        </w:rPr>
        <w:t xml:space="preserve"> AND state RESPONSES</w:t>
      </w:r>
    </w:p>
    <w:p w14:paraId="683C9498" w14:textId="77777777" w:rsidR="001F215E" w:rsidRPr="00B72BD5" w:rsidRDefault="001F215E" w:rsidP="00334B32">
      <w:pPr>
        <w:rPr>
          <w:lang w:val="en-ZA"/>
        </w:rPr>
      </w:pPr>
    </w:p>
    <w:p w14:paraId="771D79CF" w14:textId="77777777" w:rsidR="001F215E" w:rsidRPr="00B72BD5" w:rsidRDefault="001F215E" w:rsidP="00334B32">
      <w:pPr>
        <w:pBdr>
          <w:bottom w:val="single" w:sz="4" w:space="1" w:color="auto"/>
        </w:pBdr>
        <w:ind w:left="709"/>
        <w:rPr>
          <w:lang w:val="en-ZA"/>
        </w:rPr>
      </w:pPr>
      <w:r w:rsidRPr="00B72BD5">
        <w:rPr>
          <w:lang w:val="en-ZA"/>
        </w:rPr>
        <w:t>a joint project between Spor Media and Positive Vibes Trust, Namibia</w:t>
      </w:r>
    </w:p>
    <w:p w14:paraId="40D6FE4C" w14:textId="77777777" w:rsidR="001F215E" w:rsidRPr="00B72BD5" w:rsidRDefault="001F215E" w:rsidP="00334B32">
      <w:pPr>
        <w:rPr>
          <w:sz w:val="28"/>
          <w:szCs w:val="28"/>
          <w:lang w:val="en-ZA"/>
        </w:rPr>
      </w:pPr>
    </w:p>
    <w:sdt>
      <w:sdtPr>
        <w:rPr>
          <w:rFonts w:asciiTheme="minorHAnsi" w:eastAsiaTheme="minorHAnsi" w:hAnsiTheme="minorHAnsi" w:cstheme="minorBidi"/>
          <w:color w:val="auto"/>
          <w:sz w:val="24"/>
          <w:szCs w:val="24"/>
          <w:lang w:val="da-DK"/>
        </w:rPr>
        <w:id w:val="298200909"/>
        <w:docPartObj>
          <w:docPartGallery w:val="Table of Contents"/>
          <w:docPartUnique/>
        </w:docPartObj>
      </w:sdtPr>
      <w:sdtEndPr>
        <w:rPr>
          <w:b/>
          <w:bCs/>
          <w:noProof/>
        </w:rPr>
      </w:sdtEndPr>
      <w:sdtContent>
        <w:p w14:paraId="672DFEC7" w14:textId="2B23CA8A" w:rsidR="00C573AB" w:rsidRPr="00B72BD5" w:rsidRDefault="00C573AB" w:rsidP="00334B32">
          <w:pPr>
            <w:pStyle w:val="TOCHeading"/>
          </w:pPr>
          <w:r w:rsidRPr="00B72BD5">
            <w:t>Contents</w:t>
          </w:r>
        </w:p>
        <w:p w14:paraId="6FA5DFD3" w14:textId="55D247A8" w:rsidR="00607653" w:rsidRDefault="00C573AB">
          <w:pPr>
            <w:pStyle w:val="TOC1"/>
            <w:tabs>
              <w:tab w:val="right" w:leader="dot" w:pos="9622"/>
            </w:tabs>
            <w:rPr>
              <w:rFonts w:eastAsiaTheme="minorEastAsia"/>
              <w:noProof/>
              <w:sz w:val="22"/>
              <w:szCs w:val="22"/>
              <w:lang w:val="en-DK" w:eastAsia="en-DK"/>
            </w:rPr>
          </w:pPr>
          <w:r w:rsidRPr="00B72BD5">
            <w:fldChar w:fldCharType="begin"/>
          </w:r>
          <w:r w:rsidRPr="00B72BD5">
            <w:instrText xml:space="preserve"> TOC \o "1-3" \h \z \u </w:instrText>
          </w:r>
          <w:r w:rsidRPr="00B72BD5">
            <w:fldChar w:fldCharType="separate"/>
          </w:r>
          <w:hyperlink w:anchor="_Toc113951201" w:history="1">
            <w:r w:rsidR="00607653" w:rsidRPr="00FC7C28">
              <w:rPr>
                <w:rStyle w:val="Hyperlink"/>
                <w:noProof/>
              </w:rPr>
              <w:t>Abbreviations used</w:t>
            </w:r>
            <w:r w:rsidR="00607653">
              <w:rPr>
                <w:noProof/>
                <w:webHidden/>
              </w:rPr>
              <w:tab/>
            </w:r>
            <w:r w:rsidR="00607653">
              <w:rPr>
                <w:noProof/>
                <w:webHidden/>
              </w:rPr>
              <w:fldChar w:fldCharType="begin"/>
            </w:r>
            <w:r w:rsidR="00607653">
              <w:rPr>
                <w:noProof/>
                <w:webHidden/>
              </w:rPr>
              <w:instrText xml:space="preserve"> PAGEREF _Toc113951201 \h </w:instrText>
            </w:r>
            <w:r w:rsidR="00607653">
              <w:rPr>
                <w:noProof/>
                <w:webHidden/>
              </w:rPr>
            </w:r>
            <w:r w:rsidR="00607653">
              <w:rPr>
                <w:noProof/>
                <w:webHidden/>
              </w:rPr>
              <w:fldChar w:fldCharType="separate"/>
            </w:r>
            <w:r w:rsidR="00607653">
              <w:rPr>
                <w:noProof/>
                <w:webHidden/>
              </w:rPr>
              <w:t>1</w:t>
            </w:r>
            <w:r w:rsidR="00607653">
              <w:rPr>
                <w:noProof/>
                <w:webHidden/>
              </w:rPr>
              <w:fldChar w:fldCharType="end"/>
            </w:r>
          </w:hyperlink>
        </w:p>
        <w:p w14:paraId="49889AD0" w14:textId="56D1A010" w:rsidR="00607653" w:rsidRDefault="00607653">
          <w:pPr>
            <w:pStyle w:val="TOC1"/>
            <w:tabs>
              <w:tab w:val="left" w:pos="480"/>
              <w:tab w:val="right" w:leader="dot" w:pos="9622"/>
            </w:tabs>
            <w:rPr>
              <w:rFonts w:eastAsiaTheme="minorEastAsia"/>
              <w:noProof/>
              <w:sz w:val="22"/>
              <w:szCs w:val="22"/>
              <w:lang w:val="en-DK" w:eastAsia="en-DK"/>
            </w:rPr>
          </w:pPr>
          <w:hyperlink w:anchor="_Toc113951202" w:history="1">
            <w:r w:rsidRPr="00FC7C28">
              <w:rPr>
                <w:rStyle w:val="Hyperlink"/>
                <w:noProof/>
              </w:rPr>
              <w:t>1.</w:t>
            </w:r>
            <w:r>
              <w:rPr>
                <w:rFonts w:eastAsiaTheme="minorEastAsia"/>
                <w:noProof/>
                <w:sz w:val="22"/>
                <w:szCs w:val="22"/>
                <w:lang w:val="en-DK" w:eastAsia="en-DK"/>
              </w:rPr>
              <w:tab/>
            </w:r>
            <w:r w:rsidRPr="00FC7C28">
              <w:rPr>
                <w:rStyle w:val="Hyperlink"/>
                <w:noProof/>
              </w:rPr>
              <w:t>Objective and relevance (the world around us)</w:t>
            </w:r>
            <w:r>
              <w:rPr>
                <w:noProof/>
                <w:webHidden/>
              </w:rPr>
              <w:tab/>
            </w:r>
            <w:r>
              <w:rPr>
                <w:noProof/>
                <w:webHidden/>
              </w:rPr>
              <w:fldChar w:fldCharType="begin"/>
            </w:r>
            <w:r>
              <w:rPr>
                <w:noProof/>
                <w:webHidden/>
              </w:rPr>
              <w:instrText xml:space="preserve"> PAGEREF _Toc113951202 \h </w:instrText>
            </w:r>
            <w:r>
              <w:rPr>
                <w:noProof/>
                <w:webHidden/>
              </w:rPr>
            </w:r>
            <w:r>
              <w:rPr>
                <w:noProof/>
                <w:webHidden/>
              </w:rPr>
              <w:fldChar w:fldCharType="separate"/>
            </w:r>
            <w:r>
              <w:rPr>
                <w:noProof/>
                <w:webHidden/>
              </w:rPr>
              <w:t>2</w:t>
            </w:r>
            <w:r>
              <w:rPr>
                <w:noProof/>
                <w:webHidden/>
              </w:rPr>
              <w:fldChar w:fldCharType="end"/>
            </w:r>
          </w:hyperlink>
        </w:p>
        <w:p w14:paraId="18A7EC77" w14:textId="6FC66020" w:rsidR="00607653" w:rsidRDefault="00607653">
          <w:pPr>
            <w:pStyle w:val="TOC2"/>
            <w:tabs>
              <w:tab w:val="right" w:leader="dot" w:pos="9622"/>
            </w:tabs>
            <w:rPr>
              <w:rFonts w:eastAsiaTheme="minorEastAsia"/>
              <w:noProof/>
              <w:sz w:val="22"/>
              <w:szCs w:val="22"/>
              <w:lang w:val="en-DK" w:eastAsia="en-DK"/>
            </w:rPr>
          </w:pPr>
          <w:hyperlink w:anchor="_Toc113951203" w:history="1">
            <w:r w:rsidRPr="00FC7C28">
              <w:rPr>
                <w:rStyle w:val="Hyperlink"/>
                <w:noProof/>
              </w:rPr>
              <w:t>Intervention objective and rationale</w:t>
            </w:r>
            <w:r>
              <w:rPr>
                <w:noProof/>
                <w:webHidden/>
              </w:rPr>
              <w:tab/>
            </w:r>
            <w:r>
              <w:rPr>
                <w:noProof/>
                <w:webHidden/>
              </w:rPr>
              <w:fldChar w:fldCharType="begin"/>
            </w:r>
            <w:r>
              <w:rPr>
                <w:noProof/>
                <w:webHidden/>
              </w:rPr>
              <w:instrText xml:space="preserve"> PAGEREF _Toc113951203 \h </w:instrText>
            </w:r>
            <w:r>
              <w:rPr>
                <w:noProof/>
                <w:webHidden/>
              </w:rPr>
            </w:r>
            <w:r>
              <w:rPr>
                <w:noProof/>
                <w:webHidden/>
              </w:rPr>
              <w:fldChar w:fldCharType="separate"/>
            </w:r>
            <w:r>
              <w:rPr>
                <w:noProof/>
                <w:webHidden/>
              </w:rPr>
              <w:t>2</w:t>
            </w:r>
            <w:r>
              <w:rPr>
                <w:noProof/>
                <w:webHidden/>
              </w:rPr>
              <w:fldChar w:fldCharType="end"/>
            </w:r>
          </w:hyperlink>
        </w:p>
        <w:p w14:paraId="7D274EF8" w14:textId="4D6E810D" w:rsidR="00607653" w:rsidRDefault="00607653">
          <w:pPr>
            <w:pStyle w:val="TOC3"/>
            <w:tabs>
              <w:tab w:val="right" w:leader="dot" w:pos="9622"/>
            </w:tabs>
            <w:rPr>
              <w:rFonts w:eastAsiaTheme="minorEastAsia"/>
              <w:noProof/>
              <w:sz w:val="22"/>
              <w:szCs w:val="22"/>
              <w:lang w:val="en-DK" w:eastAsia="en-DK"/>
            </w:rPr>
          </w:pPr>
          <w:hyperlink w:anchor="_Toc113951204" w:history="1">
            <w:r w:rsidRPr="00FC7C28">
              <w:rPr>
                <w:rStyle w:val="Hyperlink"/>
                <w:noProof/>
                <w:lang w:val="en-ZA"/>
              </w:rPr>
              <w:t>Critical Gaps Addressed by the Project</w:t>
            </w:r>
            <w:r>
              <w:rPr>
                <w:noProof/>
                <w:webHidden/>
              </w:rPr>
              <w:tab/>
            </w:r>
            <w:r>
              <w:rPr>
                <w:noProof/>
                <w:webHidden/>
              </w:rPr>
              <w:fldChar w:fldCharType="begin"/>
            </w:r>
            <w:r>
              <w:rPr>
                <w:noProof/>
                <w:webHidden/>
              </w:rPr>
              <w:instrText xml:space="preserve"> PAGEREF _Toc113951204 \h </w:instrText>
            </w:r>
            <w:r>
              <w:rPr>
                <w:noProof/>
                <w:webHidden/>
              </w:rPr>
            </w:r>
            <w:r>
              <w:rPr>
                <w:noProof/>
                <w:webHidden/>
              </w:rPr>
              <w:fldChar w:fldCharType="separate"/>
            </w:r>
            <w:r>
              <w:rPr>
                <w:noProof/>
                <w:webHidden/>
              </w:rPr>
              <w:t>3</w:t>
            </w:r>
            <w:r>
              <w:rPr>
                <w:noProof/>
                <w:webHidden/>
              </w:rPr>
              <w:fldChar w:fldCharType="end"/>
            </w:r>
          </w:hyperlink>
        </w:p>
        <w:p w14:paraId="680D73B5" w14:textId="6BFEDE9B" w:rsidR="00607653" w:rsidRDefault="00607653">
          <w:pPr>
            <w:pStyle w:val="TOC2"/>
            <w:tabs>
              <w:tab w:val="right" w:leader="dot" w:pos="9622"/>
            </w:tabs>
            <w:rPr>
              <w:rFonts w:eastAsiaTheme="minorEastAsia"/>
              <w:noProof/>
              <w:sz w:val="22"/>
              <w:szCs w:val="22"/>
              <w:lang w:val="en-DK" w:eastAsia="en-DK"/>
            </w:rPr>
          </w:pPr>
          <w:hyperlink w:anchor="_Toc113951205" w:history="1">
            <w:r w:rsidRPr="00FC7C28">
              <w:rPr>
                <w:rStyle w:val="Hyperlink"/>
                <w:noProof/>
              </w:rPr>
              <w:t>Intervention context: relevant social, economic and political conditions</w:t>
            </w:r>
            <w:r>
              <w:rPr>
                <w:noProof/>
                <w:webHidden/>
              </w:rPr>
              <w:tab/>
            </w:r>
            <w:r>
              <w:rPr>
                <w:noProof/>
                <w:webHidden/>
              </w:rPr>
              <w:fldChar w:fldCharType="begin"/>
            </w:r>
            <w:r>
              <w:rPr>
                <w:noProof/>
                <w:webHidden/>
              </w:rPr>
              <w:instrText xml:space="preserve"> PAGEREF _Toc113951205 \h </w:instrText>
            </w:r>
            <w:r>
              <w:rPr>
                <w:noProof/>
                <w:webHidden/>
              </w:rPr>
            </w:r>
            <w:r>
              <w:rPr>
                <w:noProof/>
                <w:webHidden/>
              </w:rPr>
              <w:fldChar w:fldCharType="separate"/>
            </w:r>
            <w:r>
              <w:rPr>
                <w:noProof/>
                <w:webHidden/>
              </w:rPr>
              <w:t>4</w:t>
            </w:r>
            <w:r>
              <w:rPr>
                <w:noProof/>
                <w:webHidden/>
              </w:rPr>
              <w:fldChar w:fldCharType="end"/>
            </w:r>
          </w:hyperlink>
        </w:p>
        <w:p w14:paraId="671CCB15" w14:textId="35932F0B" w:rsidR="00607653" w:rsidRDefault="00607653">
          <w:pPr>
            <w:pStyle w:val="TOC2"/>
            <w:tabs>
              <w:tab w:val="right" w:leader="dot" w:pos="9622"/>
            </w:tabs>
            <w:rPr>
              <w:rFonts w:eastAsiaTheme="minorEastAsia"/>
              <w:noProof/>
              <w:sz w:val="22"/>
              <w:szCs w:val="22"/>
              <w:lang w:val="en-DK" w:eastAsia="en-DK"/>
            </w:rPr>
          </w:pPr>
          <w:hyperlink w:anchor="_Toc113951206" w:history="1">
            <w:r w:rsidRPr="00FC7C28">
              <w:rPr>
                <w:rStyle w:val="Hyperlink"/>
                <w:noProof/>
              </w:rPr>
              <w:t>Contribution to strengthening civil society to advance social justice</w:t>
            </w:r>
            <w:r>
              <w:rPr>
                <w:noProof/>
                <w:webHidden/>
              </w:rPr>
              <w:tab/>
            </w:r>
            <w:r>
              <w:rPr>
                <w:noProof/>
                <w:webHidden/>
              </w:rPr>
              <w:fldChar w:fldCharType="begin"/>
            </w:r>
            <w:r>
              <w:rPr>
                <w:noProof/>
                <w:webHidden/>
              </w:rPr>
              <w:instrText xml:space="preserve"> PAGEREF _Toc113951206 \h </w:instrText>
            </w:r>
            <w:r>
              <w:rPr>
                <w:noProof/>
                <w:webHidden/>
              </w:rPr>
            </w:r>
            <w:r>
              <w:rPr>
                <w:noProof/>
                <w:webHidden/>
              </w:rPr>
              <w:fldChar w:fldCharType="separate"/>
            </w:r>
            <w:r>
              <w:rPr>
                <w:noProof/>
                <w:webHidden/>
              </w:rPr>
              <w:t>7</w:t>
            </w:r>
            <w:r>
              <w:rPr>
                <w:noProof/>
                <w:webHidden/>
              </w:rPr>
              <w:fldChar w:fldCharType="end"/>
            </w:r>
          </w:hyperlink>
        </w:p>
        <w:p w14:paraId="56A7C6C9" w14:textId="3CE07947" w:rsidR="00607653" w:rsidRDefault="00607653">
          <w:pPr>
            <w:pStyle w:val="TOC2"/>
            <w:tabs>
              <w:tab w:val="right" w:leader="dot" w:pos="9622"/>
            </w:tabs>
            <w:rPr>
              <w:rFonts w:eastAsiaTheme="minorEastAsia"/>
              <w:noProof/>
              <w:sz w:val="22"/>
              <w:szCs w:val="22"/>
              <w:lang w:val="en-DK" w:eastAsia="en-DK"/>
            </w:rPr>
          </w:pPr>
          <w:hyperlink w:anchor="_Toc113951207" w:history="1">
            <w:r w:rsidRPr="00FC7C28">
              <w:rPr>
                <w:rStyle w:val="Hyperlink"/>
                <w:noProof/>
              </w:rPr>
              <w:t>Response to climate- and environmental conditions</w:t>
            </w:r>
            <w:r>
              <w:rPr>
                <w:noProof/>
                <w:webHidden/>
              </w:rPr>
              <w:tab/>
            </w:r>
            <w:r>
              <w:rPr>
                <w:noProof/>
                <w:webHidden/>
              </w:rPr>
              <w:fldChar w:fldCharType="begin"/>
            </w:r>
            <w:r>
              <w:rPr>
                <w:noProof/>
                <w:webHidden/>
              </w:rPr>
              <w:instrText xml:space="preserve"> PAGEREF _Toc113951207 \h </w:instrText>
            </w:r>
            <w:r>
              <w:rPr>
                <w:noProof/>
                <w:webHidden/>
              </w:rPr>
            </w:r>
            <w:r>
              <w:rPr>
                <w:noProof/>
                <w:webHidden/>
              </w:rPr>
              <w:fldChar w:fldCharType="separate"/>
            </w:r>
            <w:r>
              <w:rPr>
                <w:noProof/>
                <w:webHidden/>
              </w:rPr>
              <w:t>7</w:t>
            </w:r>
            <w:r>
              <w:rPr>
                <w:noProof/>
                <w:webHidden/>
              </w:rPr>
              <w:fldChar w:fldCharType="end"/>
            </w:r>
          </w:hyperlink>
        </w:p>
        <w:p w14:paraId="7D81E4E8" w14:textId="32A5D225" w:rsidR="00607653" w:rsidRDefault="00607653">
          <w:pPr>
            <w:pStyle w:val="TOC1"/>
            <w:tabs>
              <w:tab w:val="left" w:pos="480"/>
              <w:tab w:val="right" w:leader="dot" w:pos="9622"/>
            </w:tabs>
            <w:rPr>
              <w:rFonts w:eastAsiaTheme="minorEastAsia"/>
              <w:noProof/>
              <w:sz w:val="22"/>
              <w:szCs w:val="22"/>
              <w:lang w:val="en-DK" w:eastAsia="en-DK"/>
            </w:rPr>
          </w:pPr>
          <w:hyperlink w:anchor="_Toc113951208" w:history="1">
            <w:r w:rsidRPr="00FC7C28">
              <w:rPr>
                <w:rStyle w:val="Hyperlink"/>
                <w:noProof/>
              </w:rPr>
              <w:t>2.</w:t>
            </w:r>
            <w:r>
              <w:rPr>
                <w:rFonts w:eastAsiaTheme="minorEastAsia"/>
                <w:noProof/>
                <w:sz w:val="22"/>
                <w:szCs w:val="22"/>
                <w:lang w:val="en-DK" w:eastAsia="en-DK"/>
              </w:rPr>
              <w:tab/>
            </w:r>
            <w:r w:rsidRPr="00FC7C28">
              <w:rPr>
                <w:rStyle w:val="Hyperlink"/>
                <w:noProof/>
              </w:rPr>
              <w:t>The partnership/collaborators (our starting point)</w:t>
            </w:r>
            <w:r>
              <w:rPr>
                <w:noProof/>
                <w:webHidden/>
              </w:rPr>
              <w:tab/>
            </w:r>
            <w:r>
              <w:rPr>
                <w:noProof/>
                <w:webHidden/>
              </w:rPr>
              <w:fldChar w:fldCharType="begin"/>
            </w:r>
            <w:r>
              <w:rPr>
                <w:noProof/>
                <w:webHidden/>
              </w:rPr>
              <w:instrText xml:space="preserve"> PAGEREF _Toc113951208 \h </w:instrText>
            </w:r>
            <w:r>
              <w:rPr>
                <w:noProof/>
                <w:webHidden/>
              </w:rPr>
            </w:r>
            <w:r>
              <w:rPr>
                <w:noProof/>
                <w:webHidden/>
              </w:rPr>
              <w:fldChar w:fldCharType="separate"/>
            </w:r>
            <w:r>
              <w:rPr>
                <w:noProof/>
                <w:webHidden/>
              </w:rPr>
              <w:t>7</w:t>
            </w:r>
            <w:r>
              <w:rPr>
                <w:noProof/>
                <w:webHidden/>
              </w:rPr>
              <w:fldChar w:fldCharType="end"/>
            </w:r>
          </w:hyperlink>
        </w:p>
        <w:p w14:paraId="7B379AF4" w14:textId="38370680" w:rsidR="00607653" w:rsidRDefault="00607653">
          <w:pPr>
            <w:pStyle w:val="TOC2"/>
            <w:tabs>
              <w:tab w:val="right" w:leader="dot" w:pos="9622"/>
            </w:tabs>
            <w:rPr>
              <w:rFonts w:eastAsiaTheme="minorEastAsia"/>
              <w:noProof/>
              <w:sz w:val="22"/>
              <w:szCs w:val="22"/>
              <w:lang w:val="en-DK" w:eastAsia="en-DK"/>
            </w:rPr>
          </w:pPr>
          <w:hyperlink w:anchor="_Toc113951209" w:history="1">
            <w:r w:rsidRPr="00FC7C28">
              <w:rPr>
                <w:rStyle w:val="Hyperlink"/>
                <w:noProof/>
              </w:rPr>
              <w:t>Experiences, capacities and resources of participant partners as well as other actors</w:t>
            </w:r>
            <w:r>
              <w:rPr>
                <w:noProof/>
                <w:webHidden/>
              </w:rPr>
              <w:tab/>
            </w:r>
            <w:r>
              <w:rPr>
                <w:noProof/>
                <w:webHidden/>
              </w:rPr>
              <w:fldChar w:fldCharType="begin"/>
            </w:r>
            <w:r>
              <w:rPr>
                <w:noProof/>
                <w:webHidden/>
              </w:rPr>
              <w:instrText xml:space="preserve"> PAGEREF _Toc113951209 \h </w:instrText>
            </w:r>
            <w:r>
              <w:rPr>
                <w:noProof/>
                <w:webHidden/>
              </w:rPr>
            </w:r>
            <w:r>
              <w:rPr>
                <w:noProof/>
                <w:webHidden/>
              </w:rPr>
              <w:fldChar w:fldCharType="separate"/>
            </w:r>
            <w:r>
              <w:rPr>
                <w:noProof/>
                <w:webHidden/>
              </w:rPr>
              <w:t>7</w:t>
            </w:r>
            <w:r>
              <w:rPr>
                <w:noProof/>
                <w:webHidden/>
              </w:rPr>
              <w:fldChar w:fldCharType="end"/>
            </w:r>
          </w:hyperlink>
        </w:p>
        <w:p w14:paraId="1F407A74" w14:textId="3504369B" w:rsidR="00607653" w:rsidRDefault="00607653">
          <w:pPr>
            <w:pStyle w:val="TOC2"/>
            <w:tabs>
              <w:tab w:val="right" w:leader="dot" w:pos="9622"/>
            </w:tabs>
            <w:rPr>
              <w:rFonts w:eastAsiaTheme="minorEastAsia"/>
              <w:noProof/>
              <w:sz w:val="22"/>
              <w:szCs w:val="22"/>
              <w:lang w:val="en-DK" w:eastAsia="en-DK"/>
            </w:rPr>
          </w:pPr>
          <w:hyperlink w:anchor="_Toc113951210" w:history="1">
            <w:r w:rsidRPr="00FC7C28">
              <w:rPr>
                <w:rStyle w:val="Hyperlink"/>
                <w:noProof/>
              </w:rPr>
              <w:t>Building on previous collaborations</w:t>
            </w:r>
            <w:r>
              <w:rPr>
                <w:noProof/>
                <w:webHidden/>
              </w:rPr>
              <w:tab/>
            </w:r>
            <w:r>
              <w:rPr>
                <w:noProof/>
                <w:webHidden/>
              </w:rPr>
              <w:fldChar w:fldCharType="begin"/>
            </w:r>
            <w:r>
              <w:rPr>
                <w:noProof/>
                <w:webHidden/>
              </w:rPr>
              <w:instrText xml:space="preserve"> PAGEREF _Toc113951210 \h </w:instrText>
            </w:r>
            <w:r>
              <w:rPr>
                <w:noProof/>
                <w:webHidden/>
              </w:rPr>
            </w:r>
            <w:r>
              <w:rPr>
                <w:noProof/>
                <w:webHidden/>
              </w:rPr>
              <w:fldChar w:fldCharType="separate"/>
            </w:r>
            <w:r>
              <w:rPr>
                <w:noProof/>
                <w:webHidden/>
              </w:rPr>
              <w:t>10</w:t>
            </w:r>
            <w:r>
              <w:rPr>
                <w:noProof/>
                <w:webHidden/>
              </w:rPr>
              <w:fldChar w:fldCharType="end"/>
            </w:r>
          </w:hyperlink>
        </w:p>
        <w:p w14:paraId="07A678B4" w14:textId="1659E93A" w:rsidR="00607653" w:rsidRDefault="00607653">
          <w:pPr>
            <w:pStyle w:val="TOC2"/>
            <w:tabs>
              <w:tab w:val="right" w:leader="dot" w:pos="9622"/>
            </w:tabs>
            <w:rPr>
              <w:rFonts w:eastAsiaTheme="minorEastAsia"/>
              <w:noProof/>
              <w:sz w:val="22"/>
              <w:szCs w:val="22"/>
              <w:lang w:val="en-DK" w:eastAsia="en-DK"/>
            </w:rPr>
          </w:pPr>
          <w:hyperlink w:anchor="_Toc113951211" w:history="1">
            <w:r w:rsidRPr="00FC7C28">
              <w:rPr>
                <w:rStyle w:val="Hyperlink"/>
                <w:noProof/>
              </w:rPr>
              <w:t>Roles and responsibilities of partners and other actors</w:t>
            </w:r>
            <w:r>
              <w:rPr>
                <w:noProof/>
                <w:webHidden/>
              </w:rPr>
              <w:tab/>
            </w:r>
            <w:r>
              <w:rPr>
                <w:noProof/>
                <w:webHidden/>
              </w:rPr>
              <w:fldChar w:fldCharType="begin"/>
            </w:r>
            <w:r>
              <w:rPr>
                <w:noProof/>
                <w:webHidden/>
              </w:rPr>
              <w:instrText xml:space="preserve"> PAGEREF _Toc113951211 \h </w:instrText>
            </w:r>
            <w:r>
              <w:rPr>
                <w:noProof/>
                <w:webHidden/>
              </w:rPr>
            </w:r>
            <w:r>
              <w:rPr>
                <w:noProof/>
                <w:webHidden/>
              </w:rPr>
              <w:fldChar w:fldCharType="separate"/>
            </w:r>
            <w:r>
              <w:rPr>
                <w:noProof/>
                <w:webHidden/>
              </w:rPr>
              <w:t>11</w:t>
            </w:r>
            <w:r>
              <w:rPr>
                <w:noProof/>
                <w:webHidden/>
              </w:rPr>
              <w:fldChar w:fldCharType="end"/>
            </w:r>
          </w:hyperlink>
        </w:p>
        <w:p w14:paraId="18714C96" w14:textId="5FE8621A" w:rsidR="00607653" w:rsidRDefault="00607653">
          <w:pPr>
            <w:pStyle w:val="TOC2"/>
            <w:tabs>
              <w:tab w:val="right" w:leader="dot" w:pos="9622"/>
            </w:tabs>
            <w:rPr>
              <w:rFonts w:eastAsiaTheme="minorEastAsia"/>
              <w:noProof/>
              <w:sz w:val="22"/>
              <w:szCs w:val="22"/>
              <w:lang w:val="en-DK" w:eastAsia="en-DK"/>
            </w:rPr>
          </w:pPr>
          <w:hyperlink w:anchor="_Toc113951212" w:history="1">
            <w:r w:rsidRPr="00FC7C28">
              <w:rPr>
                <w:rStyle w:val="Hyperlink"/>
                <w:noProof/>
              </w:rPr>
              <w:t>Strengthening relationships</w:t>
            </w:r>
            <w:r>
              <w:rPr>
                <w:noProof/>
                <w:webHidden/>
              </w:rPr>
              <w:tab/>
            </w:r>
            <w:r>
              <w:rPr>
                <w:noProof/>
                <w:webHidden/>
              </w:rPr>
              <w:fldChar w:fldCharType="begin"/>
            </w:r>
            <w:r>
              <w:rPr>
                <w:noProof/>
                <w:webHidden/>
              </w:rPr>
              <w:instrText xml:space="preserve"> PAGEREF _Toc113951212 \h </w:instrText>
            </w:r>
            <w:r>
              <w:rPr>
                <w:noProof/>
                <w:webHidden/>
              </w:rPr>
            </w:r>
            <w:r>
              <w:rPr>
                <w:noProof/>
                <w:webHidden/>
              </w:rPr>
              <w:fldChar w:fldCharType="separate"/>
            </w:r>
            <w:r>
              <w:rPr>
                <w:noProof/>
                <w:webHidden/>
              </w:rPr>
              <w:t>11</w:t>
            </w:r>
            <w:r>
              <w:rPr>
                <w:noProof/>
                <w:webHidden/>
              </w:rPr>
              <w:fldChar w:fldCharType="end"/>
            </w:r>
          </w:hyperlink>
        </w:p>
        <w:p w14:paraId="4D93DD00" w14:textId="0FF051EF" w:rsidR="00607653" w:rsidRDefault="00607653">
          <w:pPr>
            <w:pStyle w:val="TOC2"/>
            <w:tabs>
              <w:tab w:val="right" w:leader="dot" w:pos="9622"/>
            </w:tabs>
            <w:rPr>
              <w:rFonts w:eastAsiaTheme="minorEastAsia"/>
              <w:noProof/>
              <w:sz w:val="22"/>
              <w:szCs w:val="22"/>
              <w:lang w:val="en-DK" w:eastAsia="en-DK"/>
            </w:rPr>
          </w:pPr>
          <w:hyperlink w:anchor="_Toc113951213" w:history="1">
            <w:r w:rsidRPr="00FC7C28">
              <w:rPr>
                <w:rStyle w:val="Hyperlink"/>
                <w:noProof/>
              </w:rPr>
              <w:t>Linking to, and leveraging, other priorities, plans and resources in the context</w:t>
            </w:r>
            <w:r>
              <w:rPr>
                <w:noProof/>
                <w:webHidden/>
              </w:rPr>
              <w:tab/>
            </w:r>
            <w:r>
              <w:rPr>
                <w:noProof/>
                <w:webHidden/>
              </w:rPr>
              <w:fldChar w:fldCharType="begin"/>
            </w:r>
            <w:r>
              <w:rPr>
                <w:noProof/>
                <w:webHidden/>
              </w:rPr>
              <w:instrText xml:space="preserve"> PAGEREF _Toc113951213 \h </w:instrText>
            </w:r>
            <w:r>
              <w:rPr>
                <w:noProof/>
                <w:webHidden/>
              </w:rPr>
            </w:r>
            <w:r>
              <w:rPr>
                <w:noProof/>
                <w:webHidden/>
              </w:rPr>
              <w:fldChar w:fldCharType="separate"/>
            </w:r>
            <w:r>
              <w:rPr>
                <w:noProof/>
                <w:webHidden/>
              </w:rPr>
              <w:t>12</w:t>
            </w:r>
            <w:r>
              <w:rPr>
                <w:noProof/>
                <w:webHidden/>
              </w:rPr>
              <w:fldChar w:fldCharType="end"/>
            </w:r>
          </w:hyperlink>
        </w:p>
        <w:p w14:paraId="3C921FEB" w14:textId="68EFA787" w:rsidR="00607653" w:rsidRDefault="00607653">
          <w:pPr>
            <w:pStyle w:val="TOC1"/>
            <w:tabs>
              <w:tab w:val="left" w:pos="480"/>
              <w:tab w:val="right" w:leader="dot" w:pos="9622"/>
            </w:tabs>
            <w:rPr>
              <w:rFonts w:eastAsiaTheme="minorEastAsia"/>
              <w:noProof/>
              <w:sz w:val="22"/>
              <w:szCs w:val="22"/>
              <w:lang w:val="en-DK" w:eastAsia="en-DK"/>
            </w:rPr>
          </w:pPr>
          <w:hyperlink w:anchor="_Toc113951214" w:history="1">
            <w:r w:rsidRPr="00FC7C28">
              <w:rPr>
                <w:rStyle w:val="Hyperlink"/>
                <w:noProof/>
              </w:rPr>
              <w:t>3.</w:t>
            </w:r>
            <w:r>
              <w:rPr>
                <w:rFonts w:eastAsiaTheme="minorEastAsia"/>
                <w:noProof/>
                <w:sz w:val="22"/>
                <w:szCs w:val="22"/>
                <w:lang w:val="en-DK" w:eastAsia="en-DK"/>
              </w:rPr>
              <w:tab/>
            </w:r>
            <w:r w:rsidRPr="00FC7C28">
              <w:rPr>
                <w:rStyle w:val="Hyperlink"/>
                <w:noProof/>
              </w:rPr>
              <w:t>Target groups, objectives, strategy, and expected results (our intervention)</w:t>
            </w:r>
            <w:r>
              <w:rPr>
                <w:noProof/>
                <w:webHidden/>
              </w:rPr>
              <w:tab/>
            </w:r>
            <w:r>
              <w:rPr>
                <w:noProof/>
                <w:webHidden/>
              </w:rPr>
              <w:fldChar w:fldCharType="begin"/>
            </w:r>
            <w:r>
              <w:rPr>
                <w:noProof/>
                <w:webHidden/>
              </w:rPr>
              <w:instrText xml:space="preserve"> PAGEREF _Toc113951214 \h </w:instrText>
            </w:r>
            <w:r>
              <w:rPr>
                <w:noProof/>
                <w:webHidden/>
              </w:rPr>
            </w:r>
            <w:r>
              <w:rPr>
                <w:noProof/>
                <w:webHidden/>
              </w:rPr>
              <w:fldChar w:fldCharType="separate"/>
            </w:r>
            <w:r>
              <w:rPr>
                <w:noProof/>
                <w:webHidden/>
              </w:rPr>
              <w:t>13</w:t>
            </w:r>
            <w:r>
              <w:rPr>
                <w:noProof/>
                <w:webHidden/>
              </w:rPr>
              <w:fldChar w:fldCharType="end"/>
            </w:r>
          </w:hyperlink>
        </w:p>
        <w:p w14:paraId="4CDF48D2" w14:textId="4C1E8C72" w:rsidR="00607653" w:rsidRDefault="00607653">
          <w:pPr>
            <w:pStyle w:val="TOC2"/>
            <w:tabs>
              <w:tab w:val="right" w:leader="dot" w:pos="9622"/>
            </w:tabs>
            <w:rPr>
              <w:rFonts w:eastAsiaTheme="minorEastAsia"/>
              <w:noProof/>
              <w:sz w:val="22"/>
              <w:szCs w:val="22"/>
              <w:lang w:val="en-DK" w:eastAsia="en-DK"/>
            </w:rPr>
          </w:pPr>
          <w:hyperlink w:anchor="_Toc113951215" w:history="1">
            <w:r w:rsidRPr="00FC7C28">
              <w:rPr>
                <w:rStyle w:val="Hyperlink"/>
                <w:noProof/>
              </w:rPr>
              <w:t>The Target Groups</w:t>
            </w:r>
            <w:r>
              <w:rPr>
                <w:noProof/>
                <w:webHidden/>
              </w:rPr>
              <w:tab/>
            </w:r>
            <w:r>
              <w:rPr>
                <w:noProof/>
                <w:webHidden/>
              </w:rPr>
              <w:fldChar w:fldCharType="begin"/>
            </w:r>
            <w:r>
              <w:rPr>
                <w:noProof/>
                <w:webHidden/>
              </w:rPr>
              <w:instrText xml:space="preserve"> PAGEREF _Toc113951215 \h </w:instrText>
            </w:r>
            <w:r>
              <w:rPr>
                <w:noProof/>
                <w:webHidden/>
              </w:rPr>
            </w:r>
            <w:r>
              <w:rPr>
                <w:noProof/>
                <w:webHidden/>
              </w:rPr>
              <w:fldChar w:fldCharType="separate"/>
            </w:r>
            <w:r>
              <w:rPr>
                <w:noProof/>
                <w:webHidden/>
              </w:rPr>
              <w:t>13</w:t>
            </w:r>
            <w:r>
              <w:rPr>
                <w:noProof/>
                <w:webHidden/>
              </w:rPr>
              <w:fldChar w:fldCharType="end"/>
            </w:r>
          </w:hyperlink>
        </w:p>
        <w:p w14:paraId="2CF980F3" w14:textId="2D9614C0" w:rsidR="00607653" w:rsidRDefault="00607653">
          <w:pPr>
            <w:pStyle w:val="TOC3"/>
            <w:tabs>
              <w:tab w:val="right" w:leader="dot" w:pos="9622"/>
            </w:tabs>
            <w:rPr>
              <w:rFonts w:eastAsiaTheme="minorEastAsia"/>
              <w:noProof/>
              <w:sz w:val="22"/>
              <w:szCs w:val="22"/>
              <w:lang w:val="en-DK" w:eastAsia="en-DK"/>
            </w:rPr>
          </w:pPr>
          <w:hyperlink w:anchor="_Toc113951216" w:history="1">
            <w:r w:rsidRPr="00FC7C28">
              <w:rPr>
                <w:rStyle w:val="Hyperlink"/>
                <w:noProof/>
                <w:lang w:val="en-ZA"/>
              </w:rPr>
              <w:t>Targeted communities and rationale for their inclusion</w:t>
            </w:r>
            <w:r>
              <w:rPr>
                <w:noProof/>
                <w:webHidden/>
              </w:rPr>
              <w:tab/>
            </w:r>
            <w:r>
              <w:rPr>
                <w:noProof/>
                <w:webHidden/>
              </w:rPr>
              <w:fldChar w:fldCharType="begin"/>
            </w:r>
            <w:r>
              <w:rPr>
                <w:noProof/>
                <w:webHidden/>
              </w:rPr>
              <w:instrText xml:space="preserve"> PAGEREF _Toc113951216 \h </w:instrText>
            </w:r>
            <w:r>
              <w:rPr>
                <w:noProof/>
                <w:webHidden/>
              </w:rPr>
            </w:r>
            <w:r>
              <w:rPr>
                <w:noProof/>
                <w:webHidden/>
              </w:rPr>
              <w:fldChar w:fldCharType="separate"/>
            </w:r>
            <w:r>
              <w:rPr>
                <w:noProof/>
                <w:webHidden/>
              </w:rPr>
              <w:t>14</w:t>
            </w:r>
            <w:r>
              <w:rPr>
                <w:noProof/>
                <w:webHidden/>
              </w:rPr>
              <w:fldChar w:fldCharType="end"/>
            </w:r>
          </w:hyperlink>
        </w:p>
        <w:p w14:paraId="7AD4A9E3" w14:textId="321CEA19" w:rsidR="00607653" w:rsidRDefault="00607653">
          <w:pPr>
            <w:pStyle w:val="TOC2"/>
            <w:tabs>
              <w:tab w:val="right" w:leader="dot" w:pos="9622"/>
            </w:tabs>
            <w:rPr>
              <w:rFonts w:eastAsiaTheme="minorEastAsia"/>
              <w:noProof/>
              <w:sz w:val="22"/>
              <w:szCs w:val="22"/>
              <w:lang w:val="en-DK" w:eastAsia="en-DK"/>
            </w:rPr>
          </w:pPr>
          <w:hyperlink w:anchor="_Toc113951217" w:history="1">
            <w:r w:rsidRPr="00FC7C28">
              <w:rPr>
                <w:rStyle w:val="Hyperlink"/>
                <w:noProof/>
              </w:rPr>
              <w:t>Target group involvement in preparation of this proposal and Partners’ legitimacy and relationships with target groups</w:t>
            </w:r>
            <w:r>
              <w:rPr>
                <w:noProof/>
                <w:webHidden/>
              </w:rPr>
              <w:tab/>
            </w:r>
            <w:r>
              <w:rPr>
                <w:noProof/>
                <w:webHidden/>
              </w:rPr>
              <w:fldChar w:fldCharType="begin"/>
            </w:r>
            <w:r>
              <w:rPr>
                <w:noProof/>
                <w:webHidden/>
              </w:rPr>
              <w:instrText xml:space="preserve"> PAGEREF _Toc113951217 \h </w:instrText>
            </w:r>
            <w:r>
              <w:rPr>
                <w:noProof/>
                <w:webHidden/>
              </w:rPr>
            </w:r>
            <w:r>
              <w:rPr>
                <w:noProof/>
                <w:webHidden/>
              </w:rPr>
              <w:fldChar w:fldCharType="separate"/>
            </w:r>
            <w:r>
              <w:rPr>
                <w:noProof/>
                <w:webHidden/>
              </w:rPr>
              <w:t>15</w:t>
            </w:r>
            <w:r>
              <w:rPr>
                <w:noProof/>
                <w:webHidden/>
              </w:rPr>
              <w:fldChar w:fldCharType="end"/>
            </w:r>
          </w:hyperlink>
        </w:p>
        <w:p w14:paraId="4B8671D5" w14:textId="5565A4B2" w:rsidR="00607653" w:rsidRDefault="00607653">
          <w:pPr>
            <w:pStyle w:val="TOC2"/>
            <w:tabs>
              <w:tab w:val="right" w:leader="dot" w:pos="9622"/>
            </w:tabs>
            <w:rPr>
              <w:rFonts w:eastAsiaTheme="minorEastAsia"/>
              <w:noProof/>
              <w:sz w:val="22"/>
              <w:szCs w:val="22"/>
              <w:lang w:val="en-DK" w:eastAsia="en-DK"/>
            </w:rPr>
          </w:pPr>
          <w:hyperlink w:anchor="_Toc113951218" w:history="1">
            <w:r w:rsidRPr="00FC7C28">
              <w:rPr>
                <w:rStyle w:val="Hyperlink"/>
                <w:noProof/>
              </w:rPr>
              <w:t>Strategy of the intervention</w:t>
            </w:r>
            <w:r>
              <w:rPr>
                <w:noProof/>
                <w:webHidden/>
              </w:rPr>
              <w:tab/>
            </w:r>
            <w:r>
              <w:rPr>
                <w:noProof/>
                <w:webHidden/>
              </w:rPr>
              <w:fldChar w:fldCharType="begin"/>
            </w:r>
            <w:r>
              <w:rPr>
                <w:noProof/>
                <w:webHidden/>
              </w:rPr>
              <w:instrText xml:space="preserve"> PAGEREF _Toc113951218 \h </w:instrText>
            </w:r>
            <w:r>
              <w:rPr>
                <w:noProof/>
                <w:webHidden/>
              </w:rPr>
            </w:r>
            <w:r>
              <w:rPr>
                <w:noProof/>
                <w:webHidden/>
              </w:rPr>
              <w:fldChar w:fldCharType="separate"/>
            </w:r>
            <w:r>
              <w:rPr>
                <w:noProof/>
                <w:webHidden/>
              </w:rPr>
              <w:t>16</w:t>
            </w:r>
            <w:r>
              <w:rPr>
                <w:noProof/>
                <w:webHidden/>
              </w:rPr>
              <w:fldChar w:fldCharType="end"/>
            </w:r>
          </w:hyperlink>
        </w:p>
        <w:p w14:paraId="7FC9E8B1" w14:textId="7DBE3240" w:rsidR="00607653" w:rsidRDefault="00607653">
          <w:pPr>
            <w:pStyle w:val="TOC3"/>
            <w:tabs>
              <w:tab w:val="right" w:leader="dot" w:pos="9622"/>
            </w:tabs>
            <w:rPr>
              <w:rFonts w:eastAsiaTheme="minorEastAsia"/>
              <w:noProof/>
              <w:sz w:val="22"/>
              <w:szCs w:val="22"/>
              <w:lang w:val="en-DK" w:eastAsia="en-DK"/>
            </w:rPr>
          </w:pPr>
          <w:hyperlink w:anchor="_Toc113951219" w:history="1">
            <w:r w:rsidRPr="00FC7C28">
              <w:rPr>
                <w:rStyle w:val="Hyperlink"/>
                <w:noProof/>
                <w:lang w:val="en-ZA"/>
              </w:rPr>
              <w:t>Applying past experiences and learning to this intervention</w:t>
            </w:r>
            <w:r>
              <w:rPr>
                <w:noProof/>
                <w:webHidden/>
              </w:rPr>
              <w:tab/>
            </w:r>
            <w:r>
              <w:rPr>
                <w:noProof/>
                <w:webHidden/>
              </w:rPr>
              <w:fldChar w:fldCharType="begin"/>
            </w:r>
            <w:r>
              <w:rPr>
                <w:noProof/>
                <w:webHidden/>
              </w:rPr>
              <w:instrText xml:space="preserve"> PAGEREF _Toc113951219 \h </w:instrText>
            </w:r>
            <w:r>
              <w:rPr>
                <w:noProof/>
                <w:webHidden/>
              </w:rPr>
            </w:r>
            <w:r>
              <w:rPr>
                <w:noProof/>
                <w:webHidden/>
              </w:rPr>
              <w:fldChar w:fldCharType="separate"/>
            </w:r>
            <w:r>
              <w:rPr>
                <w:noProof/>
                <w:webHidden/>
              </w:rPr>
              <w:t>16</w:t>
            </w:r>
            <w:r>
              <w:rPr>
                <w:noProof/>
                <w:webHidden/>
              </w:rPr>
              <w:fldChar w:fldCharType="end"/>
            </w:r>
          </w:hyperlink>
        </w:p>
        <w:p w14:paraId="7FF0D937" w14:textId="172F8B22" w:rsidR="00607653" w:rsidRDefault="00607653">
          <w:pPr>
            <w:pStyle w:val="TOC3"/>
            <w:tabs>
              <w:tab w:val="right" w:leader="dot" w:pos="9622"/>
            </w:tabs>
            <w:rPr>
              <w:rFonts w:eastAsiaTheme="minorEastAsia"/>
              <w:noProof/>
              <w:sz w:val="22"/>
              <w:szCs w:val="22"/>
              <w:lang w:val="en-DK" w:eastAsia="en-DK"/>
            </w:rPr>
          </w:pPr>
          <w:hyperlink w:anchor="_Toc113951220" w:history="1">
            <w:r w:rsidRPr="00FC7C28">
              <w:rPr>
                <w:rStyle w:val="Hyperlink"/>
                <w:noProof/>
                <w:lang w:val="en-ZA"/>
              </w:rPr>
              <w:t>Our approach to catalysing change</w:t>
            </w:r>
            <w:r>
              <w:rPr>
                <w:noProof/>
                <w:webHidden/>
              </w:rPr>
              <w:tab/>
            </w:r>
            <w:r>
              <w:rPr>
                <w:noProof/>
                <w:webHidden/>
              </w:rPr>
              <w:fldChar w:fldCharType="begin"/>
            </w:r>
            <w:r>
              <w:rPr>
                <w:noProof/>
                <w:webHidden/>
              </w:rPr>
              <w:instrText xml:space="preserve"> PAGEREF _Toc113951220 \h </w:instrText>
            </w:r>
            <w:r>
              <w:rPr>
                <w:noProof/>
                <w:webHidden/>
              </w:rPr>
            </w:r>
            <w:r>
              <w:rPr>
                <w:noProof/>
                <w:webHidden/>
              </w:rPr>
              <w:fldChar w:fldCharType="separate"/>
            </w:r>
            <w:r>
              <w:rPr>
                <w:noProof/>
                <w:webHidden/>
              </w:rPr>
              <w:t>17</w:t>
            </w:r>
            <w:r>
              <w:rPr>
                <w:noProof/>
                <w:webHidden/>
              </w:rPr>
              <w:fldChar w:fldCharType="end"/>
            </w:r>
          </w:hyperlink>
        </w:p>
        <w:p w14:paraId="55CA0A31" w14:textId="57BF0AC5" w:rsidR="00607653" w:rsidRDefault="00607653">
          <w:pPr>
            <w:pStyle w:val="TOC3"/>
            <w:tabs>
              <w:tab w:val="right" w:leader="dot" w:pos="9622"/>
            </w:tabs>
            <w:rPr>
              <w:rFonts w:eastAsiaTheme="minorEastAsia"/>
              <w:noProof/>
              <w:sz w:val="22"/>
              <w:szCs w:val="22"/>
              <w:lang w:val="en-DK" w:eastAsia="en-DK"/>
            </w:rPr>
          </w:pPr>
          <w:hyperlink w:anchor="_Toc113951221" w:history="1">
            <w:r w:rsidRPr="00FC7C28">
              <w:rPr>
                <w:rStyle w:val="Hyperlink"/>
                <w:noProof/>
                <w:lang w:val="en-ZA"/>
              </w:rPr>
              <w:t>Relating our approach and strategy to the development triangle</w:t>
            </w:r>
            <w:r>
              <w:rPr>
                <w:noProof/>
                <w:webHidden/>
              </w:rPr>
              <w:tab/>
            </w:r>
            <w:r>
              <w:rPr>
                <w:noProof/>
                <w:webHidden/>
              </w:rPr>
              <w:fldChar w:fldCharType="begin"/>
            </w:r>
            <w:r>
              <w:rPr>
                <w:noProof/>
                <w:webHidden/>
              </w:rPr>
              <w:instrText xml:space="preserve"> PAGEREF _Toc113951221 \h </w:instrText>
            </w:r>
            <w:r>
              <w:rPr>
                <w:noProof/>
                <w:webHidden/>
              </w:rPr>
            </w:r>
            <w:r>
              <w:rPr>
                <w:noProof/>
                <w:webHidden/>
              </w:rPr>
              <w:fldChar w:fldCharType="separate"/>
            </w:r>
            <w:r>
              <w:rPr>
                <w:noProof/>
                <w:webHidden/>
              </w:rPr>
              <w:t>17</w:t>
            </w:r>
            <w:r>
              <w:rPr>
                <w:noProof/>
                <w:webHidden/>
              </w:rPr>
              <w:fldChar w:fldCharType="end"/>
            </w:r>
          </w:hyperlink>
        </w:p>
        <w:p w14:paraId="42F5D357" w14:textId="09F2793A" w:rsidR="00607653" w:rsidRDefault="00607653">
          <w:pPr>
            <w:pStyle w:val="TOC3"/>
            <w:tabs>
              <w:tab w:val="right" w:leader="dot" w:pos="9622"/>
            </w:tabs>
            <w:rPr>
              <w:rFonts w:eastAsiaTheme="minorEastAsia"/>
              <w:noProof/>
              <w:sz w:val="22"/>
              <w:szCs w:val="22"/>
              <w:lang w:val="en-DK" w:eastAsia="en-DK"/>
            </w:rPr>
          </w:pPr>
          <w:hyperlink w:anchor="_Toc113951222" w:history="1">
            <w:r w:rsidRPr="00FC7C28">
              <w:rPr>
                <w:rStyle w:val="Hyperlink"/>
                <w:noProof/>
                <w:lang w:val="en-ZA"/>
              </w:rPr>
              <w:t>Methods to support the process</w:t>
            </w:r>
            <w:r>
              <w:rPr>
                <w:noProof/>
                <w:webHidden/>
              </w:rPr>
              <w:tab/>
            </w:r>
            <w:r>
              <w:rPr>
                <w:noProof/>
                <w:webHidden/>
              </w:rPr>
              <w:fldChar w:fldCharType="begin"/>
            </w:r>
            <w:r>
              <w:rPr>
                <w:noProof/>
                <w:webHidden/>
              </w:rPr>
              <w:instrText xml:space="preserve"> PAGEREF _Toc113951222 \h </w:instrText>
            </w:r>
            <w:r>
              <w:rPr>
                <w:noProof/>
                <w:webHidden/>
              </w:rPr>
            </w:r>
            <w:r>
              <w:rPr>
                <w:noProof/>
                <w:webHidden/>
              </w:rPr>
              <w:fldChar w:fldCharType="separate"/>
            </w:r>
            <w:r>
              <w:rPr>
                <w:noProof/>
                <w:webHidden/>
              </w:rPr>
              <w:t>18</w:t>
            </w:r>
            <w:r>
              <w:rPr>
                <w:noProof/>
                <w:webHidden/>
              </w:rPr>
              <w:fldChar w:fldCharType="end"/>
            </w:r>
          </w:hyperlink>
        </w:p>
        <w:p w14:paraId="6BB98CC4" w14:textId="673AA251" w:rsidR="00607653" w:rsidRDefault="00607653">
          <w:pPr>
            <w:pStyle w:val="TOC3"/>
            <w:tabs>
              <w:tab w:val="right" w:leader="dot" w:pos="9622"/>
            </w:tabs>
            <w:rPr>
              <w:rFonts w:eastAsiaTheme="minorEastAsia"/>
              <w:noProof/>
              <w:sz w:val="22"/>
              <w:szCs w:val="22"/>
              <w:lang w:val="en-DK" w:eastAsia="en-DK"/>
            </w:rPr>
          </w:pPr>
          <w:hyperlink w:anchor="_Toc113951223" w:history="1">
            <w:r w:rsidRPr="00FC7C28">
              <w:rPr>
                <w:rStyle w:val="Hyperlink"/>
                <w:rFonts w:eastAsia="Calibri"/>
                <w:noProof/>
                <w:lang w:val="en-ZA"/>
              </w:rPr>
              <w:t>Objectives, activities, expected outputs and indicators</w:t>
            </w:r>
            <w:r>
              <w:rPr>
                <w:noProof/>
                <w:webHidden/>
              </w:rPr>
              <w:tab/>
            </w:r>
            <w:r>
              <w:rPr>
                <w:noProof/>
                <w:webHidden/>
              </w:rPr>
              <w:fldChar w:fldCharType="begin"/>
            </w:r>
            <w:r>
              <w:rPr>
                <w:noProof/>
                <w:webHidden/>
              </w:rPr>
              <w:instrText xml:space="preserve"> PAGEREF _Toc113951223 \h </w:instrText>
            </w:r>
            <w:r>
              <w:rPr>
                <w:noProof/>
                <w:webHidden/>
              </w:rPr>
            </w:r>
            <w:r>
              <w:rPr>
                <w:noProof/>
                <w:webHidden/>
              </w:rPr>
              <w:fldChar w:fldCharType="separate"/>
            </w:r>
            <w:r>
              <w:rPr>
                <w:noProof/>
                <w:webHidden/>
              </w:rPr>
              <w:t>20</w:t>
            </w:r>
            <w:r>
              <w:rPr>
                <w:noProof/>
                <w:webHidden/>
              </w:rPr>
              <w:fldChar w:fldCharType="end"/>
            </w:r>
          </w:hyperlink>
        </w:p>
        <w:p w14:paraId="485A2514" w14:textId="0BDEBB38" w:rsidR="00607653" w:rsidRDefault="00607653">
          <w:pPr>
            <w:pStyle w:val="TOC2"/>
            <w:tabs>
              <w:tab w:val="right" w:leader="dot" w:pos="9622"/>
            </w:tabs>
            <w:rPr>
              <w:rFonts w:eastAsiaTheme="minorEastAsia"/>
              <w:noProof/>
              <w:sz w:val="22"/>
              <w:szCs w:val="22"/>
              <w:lang w:val="en-DK" w:eastAsia="en-DK"/>
            </w:rPr>
          </w:pPr>
          <w:hyperlink w:anchor="_Toc113951224" w:history="1">
            <w:r w:rsidRPr="00FC7C28">
              <w:rPr>
                <w:rStyle w:val="Hyperlink"/>
                <w:noProof/>
              </w:rPr>
              <w:t>Lasting and sustainable improvements for poor, marginalised and vulnerable groups</w:t>
            </w:r>
            <w:r>
              <w:rPr>
                <w:noProof/>
                <w:webHidden/>
              </w:rPr>
              <w:tab/>
            </w:r>
            <w:r>
              <w:rPr>
                <w:noProof/>
                <w:webHidden/>
              </w:rPr>
              <w:fldChar w:fldCharType="begin"/>
            </w:r>
            <w:r>
              <w:rPr>
                <w:noProof/>
                <w:webHidden/>
              </w:rPr>
              <w:instrText xml:space="preserve"> PAGEREF _Toc113951224 \h </w:instrText>
            </w:r>
            <w:r>
              <w:rPr>
                <w:noProof/>
                <w:webHidden/>
              </w:rPr>
            </w:r>
            <w:r>
              <w:rPr>
                <w:noProof/>
                <w:webHidden/>
              </w:rPr>
              <w:fldChar w:fldCharType="separate"/>
            </w:r>
            <w:r>
              <w:rPr>
                <w:noProof/>
                <w:webHidden/>
              </w:rPr>
              <w:t>22</w:t>
            </w:r>
            <w:r>
              <w:rPr>
                <w:noProof/>
                <w:webHidden/>
              </w:rPr>
              <w:fldChar w:fldCharType="end"/>
            </w:r>
          </w:hyperlink>
        </w:p>
        <w:p w14:paraId="454D3D11" w14:textId="18FF2DC9" w:rsidR="00607653" w:rsidRDefault="00607653">
          <w:pPr>
            <w:pStyle w:val="TOC2"/>
            <w:tabs>
              <w:tab w:val="right" w:leader="dot" w:pos="9622"/>
            </w:tabs>
            <w:rPr>
              <w:rFonts w:eastAsiaTheme="minorEastAsia"/>
              <w:noProof/>
              <w:sz w:val="22"/>
              <w:szCs w:val="22"/>
              <w:lang w:val="en-DK" w:eastAsia="en-DK"/>
            </w:rPr>
          </w:pPr>
          <w:hyperlink w:anchor="_Toc113951225" w:history="1">
            <w:r w:rsidRPr="00FC7C28">
              <w:rPr>
                <w:rStyle w:val="Hyperlink"/>
                <w:noProof/>
              </w:rPr>
              <w:t>Strengthening of the partners’ capacities after the intervention period</w:t>
            </w:r>
            <w:r>
              <w:rPr>
                <w:noProof/>
                <w:webHidden/>
              </w:rPr>
              <w:tab/>
            </w:r>
            <w:r>
              <w:rPr>
                <w:noProof/>
                <w:webHidden/>
              </w:rPr>
              <w:fldChar w:fldCharType="begin"/>
            </w:r>
            <w:r>
              <w:rPr>
                <w:noProof/>
                <w:webHidden/>
              </w:rPr>
              <w:instrText xml:space="preserve"> PAGEREF _Toc113951225 \h </w:instrText>
            </w:r>
            <w:r>
              <w:rPr>
                <w:noProof/>
                <w:webHidden/>
              </w:rPr>
            </w:r>
            <w:r>
              <w:rPr>
                <w:noProof/>
                <w:webHidden/>
              </w:rPr>
              <w:fldChar w:fldCharType="separate"/>
            </w:r>
            <w:r>
              <w:rPr>
                <w:noProof/>
                <w:webHidden/>
              </w:rPr>
              <w:t>23</w:t>
            </w:r>
            <w:r>
              <w:rPr>
                <w:noProof/>
                <w:webHidden/>
              </w:rPr>
              <w:fldChar w:fldCharType="end"/>
            </w:r>
          </w:hyperlink>
        </w:p>
        <w:p w14:paraId="3F2C95FC" w14:textId="2E8A9186" w:rsidR="00607653" w:rsidRDefault="00607653">
          <w:pPr>
            <w:pStyle w:val="TOC2"/>
            <w:tabs>
              <w:tab w:val="right" w:leader="dot" w:pos="9622"/>
            </w:tabs>
            <w:rPr>
              <w:rFonts w:eastAsiaTheme="minorEastAsia"/>
              <w:noProof/>
              <w:sz w:val="22"/>
              <w:szCs w:val="22"/>
              <w:lang w:val="en-DK" w:eastAsia="en-DK"/>
            </w:rPr>
          </w:pPr>
          <w:hyperlink w:anchor="_Toc113951226" w:history="1">
            <w:r w:rsidRPr="00FC7C28">
              <w:rPr>
                <w:rStyle w:val="Hyperlink"/>
                <w:noProof/>
              </w:rPr>
              <w:t>Risks and risk mitigation</w:t>
            </w:r>
            <w:r>
              <w:rPr>
                <w:noProof/>
                <w:webHidden/>
              </w:rPr>
              <w:tab/>
            </w:r>
            <w:r>
              <w:rPr>
                <w:noProof/>
                <w:webHidden/>
              </w:rPr>
              <w:fldChar w:fldCharType="begin"/>
            </w:r>
            <w:r>
              <w:rPr>
                <w:noProof/>
                <w:webHidden/>
              </w:rPr>
              <w:instrText xml:space="preserve"> PAGEREF _Toc113951226 \h </w:instrText>
            </w:r>
            <w:r>
              <w:rPr>
                <w:noProof/>
                <w:webHidden/>
              </w:rPr>
            </w:r>
            <w:r>
              <w:rPr>
                <w:noProof/>
                <w:webHidden/>
              </w:rPr>
              <w:fldChar w:fldCharType="separate"/>
            </w:r>
            <w:r>
              <w:rPr>
                <w:noProof/>
                <w:webHidden/>
              </w:rPr>
              <w:t>23</w:t>
            </w:r>
            <w:r>
              <w:rPr>
                <w:noProof/>
                <w:webHidden/>
              </w:rPr>
              <w:fldChar w:fldCharType="end"/>
            </w:r>
          </w:hyperlink>
        </w:p>
        <w:p w14:paraId="2C82B219" w14:textId="38837C70" w:rsidR="00607653" w:rsidRDefault="00607653">
          <w:pPr>
            <w:pStyle w:val="TOC2"/>
            <w:tabs>
              <w:tab w:val="right" w:leader="dot" w:pos="9622"/>
            </w:tabs>
            <w:rPr>
              <w:rFonts w:eastAsiaTheme="minorEastAsia"/>
              <w:noProof/>
              <w:sz w:val="22"/>
              <w:szCs w:val="22"/>
              <w:lang w:val="en-DK" w:eastAsia="en-DK"/>
            </w:rPr>
          </w:pPr>
          <w:hyperlink w:anchor="_Toc113951227" w:history="1">
            <w:r w:rsidRPr="00FC7C28">
              <w:rPr>
                <w:rStyle w:val="Hyperlink"/>
                <w:noProof/>
              </w:rPr>
              <w:t>Learning, steering, monitoring and evaluation</w:t>
            </w:r>
            <w:r>
              <w:rPr>
                <w:noProof/>
                <w:webHidden/>
              </w:rPr>
              <w:tab/>
            </w:r>
            <w:r>
              <w:rPr>
                <w:noProof/>
                <w:webHidden/>
              </w:rPr>
              <w:fldChar w:fldCharType="begin"/>
            </w:r>
            <w:r>
              <w:rPr>
                <w:noProof/>
                <w:webHidden/>
              </w:rPr>
              <w:instrText xml:space="preserve"> PAGEREF _Toc113951227 \h </w:instrText>
            </w:r>
            <w:r>
              <w:rPr>
                <w:noProof/>
                <w:webHidden/>
              </w:rPr>
            </w:r>
            <w:r>
              <w:rPr>
                <w:noProof/>
                <w:webHidden/>
              </w:rPr>
              <w:fldChar w:fldCharType="separate"/>
            </w:r>
            <w:r>
              <w:rPr>
                <w:noProof/>
                <w:webHidden/>
              </w:rPr>
              <w:t>24</w:t>
            </w:r>
            <w:r>
              <w:rPr>
                <w:noProof/>
                <w:webHidden/>
              </w:rPr>
              <w:fldChar w:fldCharType="end"/>
            </w:r>
          </w:hyperlink>
        </w:p>
        <w:p w14:paraId="2CF742D9" w14:textId="53FA1F7B" w:rsidR="00607653" w:rsidRDefault="00607653">
          <w:pPr>
            <w:pStyle w:val="TOC2"/>
            <w:tabs>
              <w:tab w:val="right" w:leader="dot" w:pos="9622"/>
            </w:tabs>
            <w:rPr>
              <w:rFonts w:eastAsiaTheme="minorEastAsia"/>
              <w:noProof/>
              <w:sz w:val="22"/>
              <w:szCs w:val="22"/>
              <w:lang w:val="en-DK" w:eastAsia="en-DK"/>
            </w:rPr>
          </w:pPr>
          <w:hyperlink w:anchor="_Toc113951228" w:history="1">
            <w:r w:rsidRPr="00FC7C28">
              <w:rPr>
                <w:rStyle w:val="Hyperlink"/>
                <w:noProof/>
              </w:rPr>
              <w:t>Involvement of volunteers</w:t>
            </w:r>
            <w:r>
              <w:rPr>
                <w:noProof/>
                <w:webHidden/>
              </w:rPr>
              <w:tab/>
            </w:r>
            <w:r>
              <w:rPr>
                <w:noProof/>
                <w:webHidden/>
              </w:rPr>
              <w:fldChar w:fldCharType="begin"/>
            </w:r>
            <w:r>
              <w:rPr>
                <w:noProof/>
                <w:webHidden/>
              </w:rPr>
              <w:instrText xml:space="preserve"> PAGEREF _Toc113951228 \h </w:instrText>
            </w:r>
            <w:r>
              <w:rPr>
                <w:noProof/>
                <w:webHidden/>
              </w:rPr>
            </w:r>
            <w:r>
              <w:rPr>
                <w:noProof/>
                <w:webHidden/>
              </w:rPr>
              <w:fldChar w:fldCharType="separate"/>
            </w:r>
            <w:r>
              <w:rPr>
                <w:noProof/>
                <w:webHidden/>
              </w:rPr>
              <w:t>25</w:t>
            </w:r>
            <w:r>
              <w:rPr>
                <w:noProof/>
                <w:webHidden/>
              </w:rPr>
              <w:fldChar w:fldCharType="end"/>
            </w:r>
          </w:hyperlink>
        </w:p>
        <w:p w14:paraId="24CC498A" w14:textId="104DFDF0" w:rsidR="00607653" w:rsidRDefault="00607653">
          <w:pPr>
            <w:pStyle w:val="TOC1"/>
            <w:tabs>
              <w:tab w:val="left" w:pos="480"/>
              <w:tab w:val="right" w:leader="dot" w:pos="9622"/>
            </w:tabs>
            <w:rPr>
              <w:rFonts w:eastAsiaTheme="minorEastAsia"/>
              <w:noProof/>
              <w:sz w:val="22"/>
              <w:szCs w:val="22"/>
              <w:lang w:val="en-DK" w:eastAsia="en-DK"/>
            </w:rPr>
          </w:pPr>
          <w:hyperlink w:anchor="_Toc113951229" w:history="1">
            <w:r w:rsidRPr="00FC7C28">
              <w:rPr>
                <w:rStyle w:val="Hyperlink"/>
                <w:noProof/>
              </w:rPr>
              <w:t>4.</w:t>
            </w:r>
            <w:r>
              <w:rPr>
                <w:rFonts w:eastAsiaTheme="minorEastAsia"/>
                <w:noProof/>
                <w:sz w:val="22"/>
                <w:szCs w:val="22"/>
                <w:lang w:val="en-DK" w:eastAsia="en-DK"/>
              </w:rPr>
              <w:tab/>
            </w:r>
            <w:r w:rsidRPr="00FC7C28">
              <w:rPr>
                <w:rStyle w:val="Hyperlink"/>
                <w:noProof/>
              </w:rPr>
              <w:t>Intervention-related information work in Denmark</w:t>
            </w:r>
            <w:r>
              <w:rPr>
                <w:noProof/>
                <w:webHidden/>
              </w:rPr>
              <w:tab/>
            </w:r>
            <w:r>
              <w:rPr>
                <w:noProof/>
                <w:webHidden/>
              </w:rPr>
              <w:fldChar w:fldCharType="begin"/>
            </w:r>
            <w:r>
              <w:rPr>
                <w:noProof/>
                <w:webHidden/>
              </w:rPr>
              <w:instrText xml:space="preserve"> PAGEREF _Toc113951229 \h </w:instrText>
            </w:r>
            <w:r>
              <w:rPr>
                <w:noProof/>
                <w:webHidden/>
              </w:rPr>
            </w:r>
            <w:r>
              <w:rPr>
                <w:noProof/>
                <w:webHidden/>
              </w:rPr>
              <w:fldChar w:fldCharType="separate"/>
            </w:r>
            <w:r>
              <w:rPr>
                <w:noProof/>
                <w:webHidden/>
              </w:rPr>
              <w:t>25</w:t>
            </w:r>
            <w:r>
              <w:rPr>
                <w:noProof/>
                <w:webHidden/>
              </w:rPr>
              <w:fldChar w:fldCharType="end"/>
            </w:r>
          </w:hyperlink>
        </w:p>
        <w:p w14:paraId="6A93FC8B" w14:textId="4C2DEA48" w:rsidR="00C573AB" w:rsidRPr="00B72BD5" w:rsidRDefault="00C573AB" w:rsidP="00334B32">
          <w:r w:rsidRPr="00B72BD5">
            <w:rPr>
              <w:b/>
              <w:bCs/>
              <w:noProof/>
            </w:rPr>
            <w:fldChar w:fldCharType="end"/>
          </w:r>
        </w:p>
      </w:sdtContent>
    </w:sdt>
    <w:p w14:paraId="60CA25CC" w14:textId="4E7B7067" w:rsidR="005248FB" w:rsidRPr="00B72BD5" w:rsidRDefault="005248FB" w:rsidP="00334B32">
      <w:pPr>
        <w:rPr>
          <w:rFonts w:cstheme="minorHAnsi"/>
          <w:b/>
          <w:bCs/>
          <w:sz w:val="22"/>
          <w:szCs w:val="22"/>
          <w:lang w:val="en-ZA"/>
        </w:rPr>
      </w:pPr>
    </w:p>
    <w:p w14:paraId="70EC8F0F" w14:textId="48CC4D9C" w:rsidR="00CD60CB" w:rsidRPr="00B72BD5" w:rsidRDefault="00CD60CB" w:rsidP="00364FC3">
      <w:pPr>
        <w:pStyle w:val="Heading1"/>
        <w:numPr>
          <w:ilvl w:val="0"/>
          <w:numId w:val="0"/>
        </w:numPr>
        <w:ind w:left="357" w:hanging="357"/>
      </w:pPr>
      <w:bookmarkStart w:id="0" w:name="_Toc113951201"/>
      <w:r w:rsidRPr="00B72BD5">
        <w:t>Abbreviations used</w:t>
      </w:r>
      <w:bookmarkEnd w:id="0"/>
    </w:p>
    <w:p w14:paraId="3E392B16" w14:textId="77777777" w:rsidR="00CD60CB" w:rsidRPr="00B72BD5" w:rsidRDefault="00CD60CB" w:rsidP="00334B32">
      <w:pPr>
        <w:rPr>
          <w:rFonts w:cstheme="minorHAnsi"/>
          <w:sz w:val="22"/>
          <w:szCs w:val="22"/>
          <w:lang w:val="en-Z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52"/>
        <w:gridCol w:w="7880"/>
      </w:tblGrid>
      <w:tr w:rsidR="00CD60CB" w:rsidRPr="00B72BD5" w14:paraId="5FF3E02A" w14:textId="77777777" w:rsidTr="00364FC3">
        <w:trPr>
          <w:trHeight w:val="283"/>
        </w:trPr>
        <w:tc>
          <w:tcPr>
            <w:tcW w:w="1273" w:type="dxa"/>
            <w:tcBorders>
              <w:top w:val="single" w:sz="4" w:space="0" w:color="auto"/>
              <w:bottom w:val="single" w:sz="4" w:space="0" w:color="auto"/>
            </w:tcBorders>
            <w:shd w:val="clear" w:color="auto" w:fill="D9D9D9" w:themeFill="background1" w:themeFillShade="D9"/>
          </w:tcPr>
          <w:p w14:paraId="3236AF8E" w14:textId="77777777" w:rsidR="00CD60CB" w:rsidRPr="00B72BD5" w:rsidRDefault="00CD60CB" w:rsidP="00334B32">
            <w:pPr>
              <w:numPr>
                <w:ilvl w:val="0"/>
                <w:numId w:val="2"/>
              </w:numPr>
              <w:rPr>
                <w:rFonts w:cstheme="minorHAnsi"/>
                <w:lang w:val="en-ZA"/>
              </w:rPr>
            </w:pPr>
            <w:r w:rsidRPr="00B72BD5">
              <w:rPr>
                <w:rFonts w:cstheme="minorHAnsi"/>
                <w:lang w:val="en-ZA"/>
              </w:rPr>
              <w:t>AYP</w:t>
            </w:r>
          </w:p>
        </w:tc>
        <w:tc>
          <w:tcPr>
            <w:tcW w:w="8355" w:type="dxa"/>
            <w:tcBorders>
              <w:top w:val="single" w:sz="4" w:space="0" w:color="auto"/>
              <w:bottom w:val="single" w:sz="4" w:space="0" w:color="auto"/>
            </w:tcBorders>
            <w:shd w:val="clear" w:color="auto" w:fill="auto"/>
          </w:tcPr>
          <w:p w14:paraId="76F995C7" w14:textId="77777777" w:rsidR="00CD60CB" w:rsidRPr="00B72BD5" w:rsidRDefault="00CD60CB" w:rsidP="00334B32">
            <w:pPr>
              <w:numPr>
                <w:ilvl w:val="0"/>
                <w:numId w:val="2"/>
              </w:numPr>
              <w:rPr>
                <w:rFonts w:cstheme="minorHAnsi"/>
                <w:lang w:val="en-ZA"/>
              </w:rPr>
            </w:pPr>
            <w:r w:rsidRPr="00B72BD5">
              <w:rPr>
                <w:rFonts w:cstheme="minorHAnsi"/>
                <w:lang w:val="en-ZA"/>
              </w:rPr>
              <w:t>Adolescents and Young People</w:t>
            </w:r>
          </w:p>
        </w:tc>
      </w:tr>
      <w:tr w:rsidR="00CD60CB" w:rsidRPr="00BD388B" w14:paraId="0D36CAA9" w14:textId="77777777" w:rsidTr="00364FC3">
        <w:trPr>
          <w:trHeight w:val="283"/>
        </w:trPr>
        <w:tc>
          <w:tcPr>
            <w:tcW w:w="1273" w:type="dxa"/>
            <w:tcBorders>
              <w:top w:val="single" w:sz="4" w:space="0" w:color="auto"/>
            </w:tcBorders>
            <w:shd w:val="clear" w:color="auto" w:fill="D9D9D9" w:themeFill="background1" w:themeFillShade="D9"/>
          </w:tcPr>
          <w:p w14:paraId="29EB8240" w14:textId="77777777" w:rsidR="00CD60CB" w:rsidRPr="00B72BD5" w:rsidRDefault="00CD60CB" w:rsidP="00334B32">
            <w:pPr>
              <w:numPr>
                <w:ilvl w:val="0"/>
                <w:numId w:val="2"/>
              </w:numPr>
              <w:rPr>
                <w:rFonts w:cstheme="minorHAnsi"/>
                <w:lang w:val="en-ZA"/>
              </w:rPr>
            </w:pPr>
            <w:r w:rsidRPr="00B72BD5">
              <w:rPr>
                <w:rFonts w:cstheme="minorHAnsi"/>
                <w:lang w:val="en-ZA"/>
              </w:rPr>
              <w:t>AGYW</w:t>
            </w:r>
          </w:p>
        </w:tc>
        <w:tc>
          <w:tcPr>
            <w:tcW w:w="8355" w:type="dxa"/>
            <w:tcBorders>
              <w:top w:val="single" w:sz="4" w:space="0" w:color="auto"/>
            </w:tcBorders>
            <w:shd w:val="clear" w:color="auto" w:fill="auto"/>
          </w:tcPr>
          <w:p w14:paraId="4AF0A6AB" w14:textId="77777777" w:rsidR="00CD60CB" w:rsidRPr="00B72BD5" w:rsidRDefault="00CD60CB" w:rsidP="00334B32">
            <w:pPr>
              <w:numPr>
                <w:ilvl w:val="0"/>
                <w:numId w:val="2"/>
              </w:numPr>
              <w:rPr>
                <w:rFonts w:cstheme="minorHAnsi"/>
                <w:lang w:val="en-ZA"/>
              </w:rPr>
            </w:pPr>
            <w:r w:rsidRPr="00B72BD5">
              <w:rPr>
                <w:rFonts w:cstheme="minorHAnsi"/>
                <w:lang w:val="en-ZA"/>
              </w:rPr>
              <w:t>Adolescent Girls and Young Women</w:t>
            </w:r>
          </w:p>
        </w:tc>
      </w:tr>
      <w:tr w:rsidR="00CD60CB" w:rsidRPr="00B72BD5" w14:paraId="32F49AB5" w14:textId="77777777" w:rsidTr="00364FC3">
        <w:trPr>
          <w:trHeight w:val="283"/>
        </w:trPr>
        <w:tc>
          <w:tcPr>
            <w:tcW w:w="1273" w:type="dxa"/>
            <w:shd w:val="clear" w:color="auto" w:fill="D9D9D9" w:themeFill="background1" w:themeFillShade="D9"/>
          </w:tcPr>
          <w:p w14:paraId="0A097563" w14:textId="77777777" w:rsidR="00CD60CB" w:rsidRPr="00B72BD5" w:rsidRDefault="00CD60CB" w:rsidP="00334B32">
            <w:pPr>
              <w:numPr>
                <w:ilvl w:val="0"/>
                <w:numId w:val="2"/>
              </w:numPr>
              <w:rPr>
                <w:rFonts w:cstheme="minorHAnsi"/>
                <w:lang w:val="en-ZA"/>
              </w:rPr>
            </w:pPr>
            <w:r w:rsidRPr="00B72BD5">
              <w:rPr>
                <w:rFonts w:cstheme="minorHAnsi"/>
                <w:lang w:val="en-ZA"/>
              </w:rPr>
              <w:t>CITT</w:t>
            </w:r>
          </w:p>
        </w:tc>
        <w:tc>
          <w:tcPr>
            <w:tcW w:w="8355" w:type="dxa"/>
            <w:shd w:val="clear" w:color="auto" w:fill="auto"/>
          </w:tcPr>
          <w:p w14:paraId="27E90F17" w14:textId="77777777" w:rsidR="00CD60CB" w:rsidRPr="00B72BD5" w:rsidRDefault="00CD60CB" w:rsidP="00334B32">
            <w:pPr>
              <w:numPr>
                <w:ilvl w:val="0"/>
                <w:numId w:val="2"/>
              </w:numPr>
              <w:rPr>
                <w:rFonts w:cstheme="minorHAnsi"/>
                <w:lang w:val="en-ZA"/>
              </w:rPr>
            </w:pPr>
            <w:r w:rsidRPr="00B72BD5">
              <w:rPr>
                <w:rFonts w:cstheme="minorHAnsi"/>
                <w:lang w:val="en-ZA"/>
              </w:rPr>
              <w:t>Community Inclusion Task Teams</w:t>
            </w:r>
          </w:p>
        </w:tc>
      </w:tr>
      <w:tr w:rsidR="00CD60CB" w:rsidRPr="00B72BD5" w14:paraId="325D74FB" w14:textId="77777777" w:rsidTr="00364FC3">
        <w:trPr>
          <w:trHeight w:val="283"/>
        </w:trPr>
        <w:tc>
          <w:tcPr>
            <w:tcW w:w="1273" w:type="dxa"/>
            <w:shd w:val="clear" w:color="auto" w:fill="D9D9D9" w:themeFill="background1" w:themeFillShade="D9"/>
          </w:tcPr>
          <w:p w14:paraId="6CDFD1D1" w14:textId="77777777" w:rsidR="00CD60CB" w:rsidRPr="00B72BD5" w:rsidRDefault="00CD60CB" w:rsidP="00334B32">
            <w:pPr>
              <w:numPr>
                <w:ilvl w:val="0"/>
                <w:numId w:val="2"/>
              </w:numPr>
              <w:rPr>
                <w:rFonts w:cstheme="minorHAnsi"/>
                <w:lang w:val="en-ZA"/>
              </w:rPr>
            </w:pPr>
            <w:r w:rsidRPr="00B72BD5">
              <w:rPr>
                <w:rFonts w:cstheme="minorHAnsi"/>
                <w:lang w:val="en-ZA"/>
              </w:rPr>
              <w:t>CSE</w:t>
            </w:r>
          </w:p>
        </w:tc>
        <w:tc>
          <w:tcPr>
            <w:tcW w:w="8355" w:type="dxa"/>
            <w:shd w:val="clear" w:color="auto" w:fill="auto"/>
          </w:tcPr>
          <w:p w14:paraId="61812461" w14:textId="77777777" w:rsidR="00CD60CB" w:rsidRPr="00B72BD5" w:rsidRDefault="00CD60CB" w:rsidP="00334B32">
            <w:pPr>
              <w:numPr>
                <w:ilvl w:val="0"/>
                <w:numId w:val="2"/>
              </w:numPr>
              <w:rPr>
                <w:rFonts w:cstheme="minorHAnsi"/>
                <w:lang w:val="en-ZA"/>
              </w:rPr>
            </w:pPr>
            <w:r w:rsidRPr="00B72BD5">
              <w:rPr>
                <w:rFonts w:cstheme="minorHAnsi"/>
                <w:lang w:val="en-ZA"/>
              </w:rPr>
              <w:t>Comprehensive Sexuality Education</w:t>
            </w:r>
          </w:p>
        </w:tc>
      </w:tr>
      <w:tr w:rsidR="00CD60CB" w:rsidRPr="00B72BD5" w14:paraId="102B6951" w14:textId="77777777" w:rsidTr="00364FC3">
        <w:trPr>
          <w:trHeight w:val="283"/>
        </w:trPr>
        <w:tc>
          <w:tcPr>
            <w:tcW w:w="1273" w:type="dxa"/>
            <w:shd w:val="clear" w:color="auto" w:fill="D9D9D9" w:themeFill="background1" w:themeFillShade="D9"/>
          </w:tcPr>
          <w:p w14:paraId="465D8F8F" w14:textId="77777777" w:rsidR="00CD60CB" w:rsidRPr="00B72BD5" w:rsidRDefault="00CD60CB" w:rsidP="00334B32">
            <w:pPr>
              <w:numPr>
                <w:ilvl w:val="0"/>
                <w:numId w:val="2"/>
              </w:numPr>
              <w:rPr>
                <w:rFonts w:cstheme="minorHAnsi"/>
                <w:lang w:val="en-ZA"/>
              </w:rPr>
            </w:pPr>
            <w:r w:rsidRPr="00B72BD5">
              <w:rPr>
                <w:rFonts w:cstheme="minorHAnsi"/>
                <w:lang w:val="en-ZA"/>
              </w:rPr>
              <w:t>GBV</w:t>
            </w:r>
          </w:p>
        </w:tc>
        <w:tc>
          <w:tcPr>
            <w:tcW w:w="8355" w:type="dxa"/>
            <w:shd w:val="clear" w:color="auto" w:fill="auto"/>
          </w:tcPr>
          <w:p w14:paraId="0E593AA4" w14:textId="77777777" w:rsidR="00CD60CB" w:rsidRPr="00B72BD5" w:rsidRDefault="00CD60CB" w:rsidP="00334B32">
            <w:pPr>
              <w:numPr>
                <w:ilvl w:val="0"/>
                <w:numId w:val="2"/>
              </w:numPr>
              <w:rPr>
                <w:rFonts w:cstheme="minorHAnsi"/>
                <w:lang w:val="en-ZA"/>
              </w:rPr>
            </w:pPr>
            <w:r w:rsidRPr="00B72BD5">
              <w:rPr>
                <w:rFonts w:cstheme="minorHAnsi"/>
                <w:lang w:val="en-ZA"/>
              </w:rPr>
              <w:t>Gender-Based Violence</w:t>
            </w:r>
          </w:p>
        </w:tc>
      </w:tr>
      <w:tr w:rsidR="00CD60CB" w:rsidRPr="00BD388B" w14:paraId="5ED2E506" w14:textId="77777777" w:rsidTr="00364FC3">
        <w:trPr>
          <w:trHeight w:val="283"/>
        </w:trPr>
        <w:tc>
          <w:tcPr>
            <w:tcW w:w="1273" w:type="dxa"/>
            <w:shd w:val="clear" w:color="auto" w:fill="D9D9D9" w:themeFill="background1" w:themeFillShade="D9"/>
          </w:tcPr>
          <w:p w14:paraId="6C7403B1" w14:textId="77777777" w:rsidR="00CD60CB" w:rsidRPr="00B72BD5" w:rsidRDefault="00CD60CB" w:rsidP="00334B32">
            <w:pPr>
              <w:numPr>
                <w:ilvl w:val="0"/>
                <w:numId w:val="2"/>
              </w:numPr>
              <w:rPr>
                <w:rFonts w:cstheme="minorHAnsi"/>
                <w:lang w:val="en-ZA"/>
              </w:rPr>
            </w:pPr>
            <w:r w:rsidRPr="00B72BD5">
              <w:rPr>
                <w:rFonts w:cstheme="minorHAnsi"/>
                <w:lang w:val="en-ZA"/>
              </w:rPr>
              <w:t>LGBT+</w:t>
            </w:r>
          </w:p>
        </w:tc>
        <w:tc>
          <w:tcPr>
            <w:tcW w:w="8355" w:type="dxa"/>
            <w:shd w:val="clear" w:color="auto" w:fill="auto"/>
          </w:tcPr>
          <w:p w14:paraId="39BE9124" w14:textId="77777777" w:rsidR="00CD60CB" w:rsidRPr="00B72BD5" w:rsidRDefault="00CD60CB" w:rsidP="00334B32">
            <w:pPr>
              <w:numPr>
                <w:ilvl w:val="0"/>
                <w:numId w:val="2"/>
              </w:numPr>
              <w:rPr>
                <w:rFonts w:cstheme="minorHAnsi"/>
                <w:lang w:val="en-US"/>
              </w:rPr>
            </w:pPr>
            <w:r w:rsidRPr="00B72BD5">
              <w:rPr>
                <w:rFonts w:cstheme="minorHAnsi"/>
                <w:lang w:val="en-ZA"/>
              </w:rPr>
              <w:t xml:space="preserve">Lesbian, Gay, Bisexual and Transgender </w:t>
            </w:r>
            <w:r w:rsidRPr="00B72BD5">
              <w:rPr>
                <w:rFonts w:cstheme="minorHAnsi"/>
                <w:lang w:val="en-US"/>
              </w:rPr>
              <w:t>people (‘+’ = others who identity in ways different from the dominant expectations of society in relation to sexual orientation, gender identity and expression)</w:t>
            </w:r>
          </w:p>
        </w:tc>
      </w:tr>
      <w:tr w:rsidR="00CD60CB" w:rsidRPr="00BD388B" w14:paraId="3FDF9C89" w14:textId="77777777" w:rsidTr="00364FC3">
        <w:trPr>
          <w:trHeight w:val="283"/>
        </w:trPr>
        <w:tc>
          <w:tcPr>
            <w:tcW w:w="1273" w:type="dxa"/>
            <w:shd w:val="clear" w:color="auto" w:fill="D9D9D9" w:themeFill="background1" w:themeFillShade="D9"/>
          </w:tcPr>
          <w:p w14:paraId="5BA8F3F1" w14:textId="77777777" w:rsidR="00CD60CB" w:rsidRPr="00B72BD5" w:rsidRDefault="00CD60CB" w:rsidP="00334B32">
            <w:pPr>
              <w:numPr>
                <w:ilvl w:val="0"/>
                <w:numId w:val="2"/>
              </w:numPr>
              <w:rPr>
                <w:rFonts w:cstheme="minorHAnsi"/>
                <w:lang w:val="en-ZA"/>
              </w:rPr>
            </w:pPr>
            <w:r w:rsidRPr="00B72BD5">
              <w:rPr>
                <w:rFonts w:cstheme="minorHAnsi"/>
                <w:lang w:val="en-ZA"/>
              </w:rPr>
              <w:t>LILO</w:t>
            </w:r>
          </w:p>
        </w:tc>
        <w:tc>
          <w:tcPr>
            <w:tcW w:w="8355" w:type="dxa"/>
            <w:shd w:val="clear" w:color="auto" w:fill="auto"/>
          </w:tcPr>
          <w:p w14:paraId="7BA33971" w14:textId="00FD471A" w:rsidR="00CD60CB" w:rsidRPr="00B72BD5" w:rsidRDefault="00CD60CB" w:rsidP="00334B32">
            <w:pPr>
              <w:numPr>
                <w:ilvl w:val="0"/>
                <w:numId w:val="2"/>
              </w:numPr>
              <w:rPr>
                <w:rFonts w:cstheme="minorHAnsi"/>
                <w:lang w:val="en-ZA"/>
              </w:rPr>
            </w:pPr>
            <w:r w:rsidRPr="00B72BD5">
              <w:rPr>
                <w:rFonts w:cstheme="minorHAnsi"/>
                <w:lang w:val="en-ZA"/>
              </w:rPr>
              <w:t>Looking in, Looking Out</w:t>
            </w:r>
            <w:r w:rsidR="007411C3">
              <w:rPr>
                <w:rFonts w:cstheme="minorHAnsi"/>
                <w:lang w:val="en-ZA"/>
              </w:rPr>
              <w:t>.</w:t>
            </w:r>
            <w:r w:rsidR="00320C51">
              <w:rPr>
                <w:rFonts w:cstheme="minorHAnsi"/>
                <w:lang w:val="en-ZA"/>
              </w:rPr>
              <w:t xml:space="preserve"> </w:t>
            </w:r>
            <w:r w:rsidR="00457A2F">
              <w:rPr>
                <w:rFonts w:cstheme="minorHAnsi"/>
                <w:lang w:val="en-ZA"/>
              </w:rPr>
              <w:t>(A series of PV developed</w:t>
            </w:r>
            <w:r w:rsidR="00FE20CE">
              <w:rPr>
                <w:rFonts w:cstheme="minorHAnsi"/>
                <w:lang w:val="en-ZA"/>
              </w:rPr>
              <w:t xml:space="preserve"> workshops, se section 3)</w:t>
            </w:r>
          </w:p>
        </w:tc>
      </w:tr>
      <w:tr w:rsidR="00CD60CB" w:rsidRPr="00BD388B" w14:paraId="67BCF3FC" w14:textId="77777777" w:rsidTr="00364FC3">
        <w:trPr>
          <w:trHeight w:val="283"/>
        </w:trPr>
        <w:tc>
          <w:tcPr>
            <w:tcW w:w="1273" w:type="dxa"/>
            <w:shd w:val="clear" w:color="auto" w:fill="D9D9D9" w:themeFill="background1" w:themeFillShade="D9"/>
          </w:tcPr>
          <w:p w14:paraId="0085109C" w14:textId="77777777" w:rsidR="00CD60CB" w:rsidRPr="00B72BD5" w:rsidRDefault="00CD60CB" w:rsidP="00334B32">
            <w:pPr>
              <w:numPr>
                <w:ilvl w:val="0"/>
                <w:numId w:val="2"/>
              </w:numPr>
              <w:rPr>
                <w:rFonts w:cstheme="minorHAnsi"/>
                <w:lang w:val="en-ZA"/>
              </w:rPr>
            </w:pPr>
            <w:r w:rsidRPr="00B72BD5">
              <w:rPr>
                <w:rFonts w:cstheme="minorHAnsi"/>
                <w:lang w:val="en-ZA"/>
              </w:rPr>
              <w:t>LRDC</w:t>
            </w:r>
          </w:p>
        </w:tc>
        <w:tc>
          <w:tcPr>
            <w:tcW w:w="8355" w:type="dxa"/>
            <w:shd w:val="clear" w:color="auto" w:fill="auto"/>
          </w:tcPr>
          <w:p w14:paraId="0BDAE62D"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Law Reform and Development Commission </w:t>
            </w:r>
          </w:p>
        </w:tc>
      </w:tr>
      <w:tr w:rsidR="00CD60CB" w:rsidRPr="00B72BD5" w14:paraId="59C1A0F7" w14:textId="77777777" w:rsidTr="00364FC3">
        <w:trPr>
          <w:trHeight w:val="283"/>
        </w:trPr>
        <w:tc>
          <w:tcPr>
            <w:tcW w:w="1273" w:type="dxa"/>
            <w:shd w:val="clear" w:color="auto" w:fill="D9D9D9" w:themeFill="background1" w:themeFillShade="D9"/>
          </w:tcPr>
          <w:p w14:paraId="56E8F342" w14:textId="77777777" w:rsidR="00CD60CB" w:rsidRPr="00B72BD5" w:rsidRDefault="00CD60CB" w:rsidP="00334B32">
            <w:pPr>
              <w:numPr>
                <w:ilvl w:val="0"/>
                <w:numId w:val="2"/>
              </w:numPr>
              <w:rPr>
                <w:rFonts w:cstheme="minorHAnsi"/>
                <w:lang w:val="en-ZA"/>
              </w:rPr>
            </w:pPr>
            <w:r w:rsidRPr="00B72BD5">
              <w:rPr>
                <w:rFonts w:cstheme="minorHAnsi"/>
                <w:lang w:val="en-ZA"/>
              </w:rPr>
              <w:t>M&amp;E</w:t>
            </w:r>
          </w:p>
        </w:tc>
        <w:tc>
          <w:tcPr>
            <w:tcW w:w="8355" w:type="dxa"/>
            <w:shd w:val="clear" w:color="auto" w:fill="auto"/>
          </w:tcPr>
          <w:p w14:paraId="41C911EE"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Monitoring and Evaluation </w:t>
            </w:r>
          </w:p>
        </w:tc>
      </w:tr>
      <w:tr w:rsidR="00CD60CB" w:rsidRPr="00B72BD5" w14:paraId="58F48DFA" w14:textId="77777777" w:rsidTr="00364FC3">
        <w:trPr>
          <w:trHeight w:val="283"/>
        </w:trPr>
        <w:tc>
          <w:tcPr>
            <w:tcW w:w="1273" w:type="dxa"/>
            <w:shd w:val="clear" w:color="auto" w:fill="D9D9D9" w:themeFill="background1" w:themeFillShade="D9"/>
          </w:tcPr>
          <w:p w14:paraId="744904D6" w14:textId="77777777" w:rsidR="00CD60CB" w:rsidRPr="00B72BD5" w:rsidRDefault="00CD60CB" w:rsidP="00334B32">
            <w:pPr>
              <w:numPr>
                <w:ilvl w:val="0"/>
                <w:numId w:val="2"/>
              </w:numPr>
              <w:rPr>
                <w:rFonts w:cstheme="minorHAnsi"/>
                <w:lang w:val="en-ZA"/>
              </w:rPr>
            </w:pPr>
            <w:r w:rsidRPr="00B72BD5">
              <w:rPr>
                <w:rFonts w:cstheme="minorHAnsi"/>
                <w:lang w:val="en-ZA"/>
              </w:rPr>
              <w:t>MEL</w:t>
            </w:r>
          </w:p>
        </w:tc>
        <w:tc>
          <w:tcPr>
            <w:tcW w:w="8355" w:type="dxa"/>
            <w:shd w:val="clear" w:color="auto" w:fill="auto"/>
          </w:tcPr>
          <w:p w14:paraId="304B6F2B" w14:textId="77777777" w:rsidR="00CD60CB" w:rsidRPr="00B72BD5" w:rsidRDefault="00CD60CB" w:rsidP="00334B32">
            <w:pPr>
              <w:numPr>
                <w:ilvl w:val="0"/>
                <w:numId w:val="2"/>
              </w:numPr>
              <w:rPr>
                <w:rFonts w:cstheme="minorHAnsi"/>
                <w:lang w:val="en-ZA"/>
              </w:rPr>
            </w:pPr>
            <w:r w:rsidRPr="00B72BD5">
              <w:rPr>
                <w:rFonts w:cstheme="minorHAnsi"/>
                <w:lang w:val="en-ZA"/>
              </w:rPr>
              <w:t>Monitoring, Evaluation and Learning</w:t>
            </w:r>
          </w:p>
        </w:tc>
      </w:tr>
      <w:tr w:rsidR="00CD60CB" w:rsidRPr="00BD388B" w14:paraId="7C6D974B" w14:textId="77777777" w:rsidTr="00364FC3">
        <w:trPr>
          <w:trHeight w:val="283"/>
        </w:trPr>
        <w:tc>
          <w:tcPr>
            <w:tcW w:w="1273" w:type="dxa"/>
            <w:shd w:val="clear" w:color="auto" w:fill="D9D9D9" w:themeFill="background1" w:themeFillShade="D9"/>
          </w:tcPr>
          <w:p w14:paraId="38F782FE" w14:textId="77777777" w:rsidR="00CD60CB" w:rsidRPr="00B72BD5" w:rsidRDefault="00CD60CB" w:rsidP="00334B32">
            <w:pPr>
              <w:numPr>
                <w:ilvl w:val="0"/>
                <w:numId w:val="2"/>
              </w:numPr>
              <w:rPr>
                <w:rFonts w:cstheme="minorHAnsi"/>
                <w:lang w:val="en-ZA"/>
              </w:rPr>
            </w:pPr>
            <w:r w:rsidRPr="00B72BD5">
              <w:rPr>
                <w:rFonts w:cstheme="minorHAnsi"/>
                <w:lang w:val="en-ZA"/>
              </w:rPr>
              <w:t>MGECW</w:t>
            </w:r>
          </w:p>
        </w:tc>
        <w:tc>
          <w:tcPr>
            <w:tcW w:w="8355" w:type="dxa"/>
            <w:shd w:val="clear" w:color="auto" w:fill="auto"/>
          </w:tcPr>
          <w:p w14:paraId="0A691594" w14:textId="77777777" w:rsidR="00CD60CB" w:rsidRPr="00B72BD5" w:rsidRDefault="00CD60CB" w:rsidP="00334B32">
            <w:pPr>
              <w:numPr>
                <w:ilvl w:val="0"/>
                <w:numId w:val="2"/>
              </w:numPr>
              <w:rPr>
                <w:rFonts w:cstheme="minorHAnsi"/>
                <w:lang w:val="en-ZA"/>
              </w:rPr>
            </w:pPr>
            <w:r w:rsidRPr="00B72BD5">
              <w:rPr>
                <w:rFonts w:cstheme="minorHAnsi"/>
                <w:lang w:val="en-ZA"/>
              </w:rPr>
              <w:t>Ministry of Gender Equality and Child Welfare</w:t>
            </w:r>
          </w:p>
        </w:tc>
      </w:tr>
      <w:tr w:rsidR="00CD60CB" w:rsidRPr="00BD388B" w14:paraId="31F21FA9" w14:textId="77777777" w:rsidTr="00364FC3">
        <w:trPr>
          <w:trHeight w:val="283"/>
        </w:trPr>
        <w:tc>
          <w:tcPr>
            <w:tcW w:w="1273" w:type="dxa"/>
            <w:shd w:val="clear" w:color="auto" w:fill="D9D9D9" w:themeFill="background1" w:themeFillShade="D9"/>
          </w:tcPr>
          <w:p w14:paraId="135211DC" w14:textId="77777777" w:rsidR="00CD60CB" w:rsidRPr="00B72BD5" w:rsidRDefault="00CD60CB" w:rsidP="00334B32">
            <w:pPr>
              <w:numPr>
                <w:ilvl w:val="0"/>
                <w:numId w:val="2"/>
              </w:numPr>
              <w:rPr>
                <w:rFonts w:cstheme="minorHAnsi"/>
                <w:lang w:val="en-ZA"/>
              </w:rPr>
            </w:pPr>
            <w:proofErr w:type="spellStart"/>
            <w:r w:rsidRPr="00B72BD5">
              <w:rPr>
                <w:rFonts w:cstheme="minorHAnsi"/>
                <w:lang w:val="en-ZA"/>
              </w:rPr>
              <w:t>MoHSS</w:t>
            </w:r>
            <w:proofErr w:type="spellEnd"/>
          </w:p>
        </w:tc>
        <w:tc>
          <w:tcPr>
            <w:tcW w:w="8355" w:type="dxa"/>
            <w:shd w:val="clear" w:color="auto" w:fill="auto"/>
          </w:tcPr>
          <w:p w14:paraId="4E83D0E7" w14:textId="77777777" w:rsidR="00CD60CB" w:rsidRPr="00B72BD5" w:rsidRDefault="00CD60CB" w:rsidP="00334B32">
            <w:pPr>
              <w:numPr>
                <w:ilvl w:val="0"/>
                <w:numId w:val="2"/>
              </w:numPr>
              <w:rPr>
                <w:rFonts w:cstheme="minorHAnsi"/>
                <w:lang w:val="en-ZA"/>
              </w:rPr>
            </w:pPr>
            <w:r w:rsidRPr="00B72BD5">
              <w:rPr>
                <w:rFonts w:cstheme="minorHAnsi"/>
                <w:lang w:val="en-ZA"/>
              </w:rPr>
              <w:t>Ministry of Health and Social Services</w:t>
            </w:r>
          </w:p>
        </w:tc>
      </w:tr>
      <w:tr w:rsidR="00CD60CB" w:rsidRPr="00BD388B" w14:paraId="7EF4E311" w14:textId="77777777" w:rsidTr="00364FC3">
        <w:trPr>
          <w:trHeight w:val="283"/>
        </w:trPr>
        <w:tc>
          <w:tcPr>
            <w:tcW w:w="1273" w:type="dxa"/>
            <w:shd w:val="clear" w:color="auto" w:fill="D9D9D9" w:themeFill="background1" w:themeFillShade="D9"/>
          </w:tcPr>
          <w:p w14:paraId="30B565E5" w14:textId="77777777" w:rsidR="00CD60CB" w:rsidRPr="00B72BD5" w:rsidRDefault="00CD60CB" w:rsidP="00334B32">
            <w:pPr>
              <w:numPr>
                <w:ilvl w:val="0"/>
                <w:numId w:val="2"/>
              </w:numPr>
              <w:rPr>
                <w:rFonts w:cstheme="minorHAnsi"/>
                <w:lang w:val="en-ZA"/>
              </w:rPr>
            </w:pPr>
            <w:r w:rsidRPr="00B72BD5">
              <w:rPr>
                <w:rFonts w:cstheme="minorHAnsi"/>
                <w:lang w:val="en-ZA"/>
              </w:rPr>
              <w:t>MSM</w:t>
            </w:r>
          </w:p>
        </w:tc>
        <w:tc>
          <w:tcPr>
            <w:tcW w:w="8355" w:type="dxa"/>
            <w:shd w:val="clear" w:color="auto" w:fill="auto"/>
          </w:tcPr>
          <w:p w14:paraId="3A12D151" w14:textId="77777777" w:rsidR="00CD60CB" w:rsidRPr="00B72BD5" w:rsidRDefault="00CD60CB" w:rsidP="00334B32">
            <w:pPr>
              <w:numPr>
                <w:ilvl w:val="0"/>
                <w:numId w:val="2"/>
              </w:numPr>
              <w:rPr>
                <w:rFonts w:cstheme="minorHAnsi"/>
                <w:lang w:val="en-ZA"/>
              </w:rPr>
            </w:pPr>
            <w:r w:rsidRPr="00B72BD5">
              <w:rPr>
                <w:rFonts w:cstheme="minorHAnsi"/>
                <w:lang w:val="en-ZA"/>
              </w:rPr>
              <w:t>Men who have Sex with Men</w:t>
            </w:r>
          </w:p>
        </w:tc>
      </w:tr>
      <w:tr w:rsidR="00CD60CB" w:rsidRPr="00B72BD5" w14:paraId="316E9B35" w14:textId="77777777" w:rsidTr="00364FC3">
        <w:trPr>
          <w:trHeight w:val="283"/>
        </w:trPr>
        <w:tc>
          <w:tcPr>
            <w:tcW w:w="1273" w:type="dxa"/>
            <w:shd w:val="clear" w:color="auto" w:fill="D9D9D9" w:themeFill="background1" w:themeFillShade="D9"/>
          </w:tcPr>
          <w:p w14:paraId="13B810CB" w14:textId="77777777" w:rsidR="00CD60CB" w:rsidRPr="00B72BD5" w:rsidRDefault="00CD60CB" w:rsidP="00334B32">
            <w:pPr>
              <w:numPr>
                <w:ilvl w:val="0"/>
                <w:numId w:val="2"/>
              </w:numPr>
              <w:rPr>
                <w:rFonts w:cstheme="minorHAnsi"/>
                <w:lang w:val="en-ZA"/>
              </w:rPr>
            </w:pPr>
            <w:r w:rsidRPr="00B72BD5">
              <w:rPr>
                <w:rFonts w:cstheme="minorHAnsi"/>
                <w:lang w:val="en-ZA"/>
              </w:rPr>
              <w:t>NAPPA</w:t>
            </w:r>
          </w:p>
        </w:tc>
        <w:tc>
          <w:tcPr>
            <w:tcW w:w="8355" w:type="dxa"/>
            <w:shd w:val="clear" w:color="auto" w:fill="auto"/>
          </w:tcPr>
          <w:p w14:paraId="1768FAEA"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Namibia Planned Parenthood Association </w:t>
            </w:r>
          </w:p>
        </w:tc>
      </w:tr>
      <w:tr w:rsidR="00CD60CB" w:rsidRPr="00BD388B" w14:paraId="5AE2C8CC" w14:textId="77777777" w:rsidTr="00364FC3">
        <w:trPr>
          <w:trHeight w:val="283"/>
        </w:trPr>
        <w:tc>
          <w:tcPr>
            <w:tcW w:w="1273" w:type="dxa"/>
            <w:shd w:val="clear" w:color="auto" w:fill="D9D9D9" w:themeFill="background1" w:themeFillShade="D9"/>
          </w:tcPr>
          <w:p w14:paraId="7B44FC91" w14:textId="77777777" w:rsidR="00CD60CB" w:rsidRPr="00B72BD5" w:rsidRDefault="00CD60CB" w:rsidP="00334B32">
            <w:pPr>
              <w:numPr>
                <w:ilvl w:val="0"/>
                <w:numId w:val="2"/>
              </w:numPr>
              <w:rPr>
                <w:rFonts w:cstheme="minorHAnsi"/>
                <w:lang w:val="en-ZA"/>
              </w:rPr>
            </w:pPr>
            <w:r w:rsidRPr="00B72BD5">
              <w:rPr>
                <w:rFonts w:cstheme="minorHAnsi"/>
                <w:lang w:val="en-ZA"/>
              </w:rPr>
              <w:t>NHRAP</w:t>
            </w:r>
          </w:p>
        </w:tc>
        <w:tc>
          <w:tcPr>
            <w:tcW w:w="8355" w:type="dxa"/>
            <w:shd w:val="clear" w:color="auto" w:fill="auto"/>
          </w:tcPr>
          <w:p w14:paraId="209A4F59" w14:textId="77777777" w:rsidR="00CD60CB" w:rsidRPr="00B72BD5" w:rsidRDefault="00CD60CB" w:rsidP="00334B32">
            <w:pPr>
              <w:numPr>
                <w:ilvl w:val="0"/>
                <w:numId w:val="2"/>
              </w:numPr>
              <w:rPr>
                <w:rFonts w:cstheme="minorHAnsi"/>
                <w:lang w:val="en-ZA"/>
              </w:rPr>
            </w:pPr>
            <w:r w:rsidRPr="00B72BD5">
              <w:rPr>
                <w:rFonts w:cstheme="minorHAnsi"/>
                <w:lang w:val="en-ZA"/>
              </w:rPr>
              <w:t>National Human Rights Action Plan</w:t>
            </w:r>
          </w:p>
        </w:tc>
      </w:tr>
      <w:tr w:rsidR="00CD60CB" w:rsidRPr="00BD388B" w14:paraId="226BC416" w14:textId="77777777" w:rsidTr="00364FC3">
        <w:trPr>
          <w:trHeight w:val="283"/>
        </w:trPr>
        <w:tc>
          <w:tcPr>
            <w:tcW w:w="1273" w:type="dxa"/>
            <w:shd w:val="clear" w:color="auto" w:fill="D9D9D9" w:themeFill="background1" w:themeFillShade="D9"/>
          </w:tcPr>
          <w:p w14:paraId="493E0E2E" w14:textId="77777777" w:rsidR="00CD60CB" w:rsidRPr="00B72BD5" w:rsidRDefault="00CD60CB" w:rsidP="00334B32">
            <w:pPr>
              <w:numPr>
                <w:ilvl w:val="0"/>
                <w:numId w:val="2"/>
              </w:numPr>
              <w:rPr>
                <w:rFonts w:cstheme="minorHAnsi"/>
                <w:lang w:val="en-ZA"/>
              </w:rPr>
            </w:pPr>
            <w:r w:rsidRPr="00B72BD5">
              <w:rPr>
                <w:rFonts w:cstheme="minorHAnsi"/>
                <w:lang w:val="en-ZA"/>
              </w:rPr>
              <w:t>NSF</w:t>
            </w:r>
          </w:p>
        </w:tc>
        <w:tc>
          <w:tcPr>
            <w:tcW w:w="8355" w:type="dxa"/>
            <w:shd w:val="clear" w:color="auto" w:fill="auto"/>
          </w:tcPr>
          <w:p w14:paraId="6CB2CCE8" w14:textId="77777777" w:rsidR="00CD60CB" w:rsidRPr="00B72BD5" w:rsidRDefault="00CD60CB" w:rsidP="00334B32">
            <w:pPr>
              <w:numPr>
                <w:ilvl w:val="0"/>
                <w:numId w:val="2"/>
              </w:numPr>
              <w:rPr>
                <w:rFonts w:cstheme="minorHAnsi"/>
                <w:lang w:val="en-ZA"/>
              </w:rPr>
            </w:pPr>
            <w:r w:rsidRPr="00B72BD5">
              <w:rPr>
                <w:rFonts w:cstheme="minorHAnsi"/>
                <w:lang w:val="en-ZA"/>
              </w:rPr>
              <w:t>National Strategic Framework for HIV and AIDS</w:t>
            </w:r>
          </w:p>
        </w:tc>
      </w:tr>
      <w:tr w:rsidR="00CD60CB" w:rsidRPr="00B72BD5" w14:paraId="3DE2C12D" w14:textId="77777777" w:rsidTr="00364FC3">
        <w:trPr>
          <w:trHeight w:val="283"/>
        </w:trPr>
        <w:tc>
          <w:tcPr>
            <w:tcW w:w="1273" w:type="dxa"/>
            <w:shd w:val="clear" w:color="auto" w:fill="D9D9D9" w:themeFill="background1" w:themeFillShade="D9"/>
          </w:tcPr>
          <w:p w14:paraId="1B4E57BC" w14:textId="77777777" w:rsidR="00CD60CB" w:rsidRPr="00B72BD5" w:rsidRDefault="00CD60CB" w:rsidP="00334B32">
            <w:pPr>
              <w:numPr>
                <w:ilvl w:val="0"/>
                <w:numId w:val="2"/>
              </w:numPr>
              <w:rPr>
                <w:rFonts w:cstheme="minorHAnsi"/>
                <w:lang w:val="en-ZA"/>
              </w:rPr>
            </w:pPr>
            <w:r w:rsidRPr="00B72BD5">
              <w:rPr>
                <w:rFonts w:cstheme="minorHAnsi"/>
                <w:lang w:val="en-ZA"/>
              </w:rPr>
              <w:t>OD</w:t>
            </w:r>
          </w:p>
        </w:tc>
        <w:tc>
          <w:tcPr>
            <w:tcW w:w="8355" w:type="dxa"/>
            <w:shd w:val="clear" w:color="auto" w:fill="auto"/>
          </w:tcPr>
          <w:p w14:paraId="278895AC" w14:textId="77777777" w:rsidR="00CD60CB" w:rsidRPr="00B72BD5" w:rsidRDefault="00CD60CB" w:rsidP="00334B32">
            <w:pPr>
              <w:numPr>
                <w:ilvl w:val="0"/>
                <w:numId w:val="2"/>
              </w:numPr>
              <w:rPr>
                <w:rFonts w:cstheme="minorHAnsi"/>
                <w:lang w:val="en-ZA"/>
              </w:rPr>
            </w:pPr>
            <w:r w:rsidRPr="00B72BD5">
              <w:rPr>
                <w:rFonts w:cstheme="minorHAnsi"/>
                <w:lang w:val="en-ZA"/>
              </w:rPr>
              <w:t>Organisation Development</w:t>
            </w:r>
          </w:p>
        </w:tc>
      </w:tr>
      <w:tr w:rsidR="00CD60CB" w:rsidRPr="00B72BD5" w14:paraId="677439D0" w14:textId="77777777" w:rsidTr="00364FC3">
        <w:trPr>
          <w:trHeight w:val="283"/>
        </w:trPr>
        <w:tc>
          <w:tcPr>
            <w:tcW w:w="1273" w:type="dxa"/>
            <w:shd w:val="clear" w:color="auto" w:fill="D9D9D9" w:themeFill="background1" w:themeFillShade="D9"/>
          </w:tcPr>
          <w:p w14:paraId="3F199F15" w14:textId="77777777" w:rsidR="00CD60CB" w:rsidRPr="00B72BD5" w:rsidRDefault="00CD60CB" w:rsidP="00334B32">
            <w:pPr>
              <w:numPr>
                <w:ilvl w:val="0"/>
                <w:numId w:val="2"/>
              </w:numPr>
              <w:rPr>
                <w:rFonts w:cstheme="minorHAnsi"/>
                <w:lang w:val="en-ZA"/>
              </w:rPr>
            </w:pPr>
            <w:r w:rsidRPr="00B72BD5">
              <w:rPr>
                <w:rFonts w:cstheme="minorHAnsi"/>
                <w:lang w:val="en-ZA"/>
              </w:rPr>
              <w:t>ORN</w:t>
            </w:r>
          </w:p>
        </w:tc>
        <w:tc>
          <w:tcPr>
            <w:tcW w:w="8355" w:type="dxa"/>
            <w:shd w:val="clear" w:color="auto" w:fill="auto"/>
          </w:tcPr>
          <w:p w14:paraId="54F8CA42" w14:textId="77777777" w:rsidR="00CD60CB" w:rsidRPr="00B72BD5" w:rsidRDefault="00CD60CB" w:rsidP="00334B32">
            <w:pPr>
              <w:numPr>
                <w:ilvl w:val="0"/>
                <w:numId w:val="2"/>
              </w:numPr>
              <w:rPr>
                <w:rFonts w:cstheme="minorHAnsi"/>
                <w:lang w:val="en-ZA"/>
              </w:rPr>
            </w:pPr>
            <w:r w:rsidRPr="00B72BD5">
              <w:rPr>
                <w:rFonts w:cstheme="minorHAnsi"/>
                <w:lang w:val="en-ZA"/>
              </w:rPr>
              <w:t>Out-Right Namibia</w:t>
            </w:r>
          </w:p>
        </w:tc>
      </w:tr>
      <w:tr w:rsidR="00CD60CB" w:rsidRPr="00BD388B" w14:paraId="1200D90C" w14:textId="77777777" w:rsidTr="00364FC3">
        <w:trPr>
          <w:trHeight w:val="283"/>
        </w:trPr>
        <w:tc>
          <w:tcPr>
            <w:tcW w:w="1273" w:type="dxa"/>
            <w:shd w:val="clear" w:color="auto" w:fill="D9D9D9" w:themeFill="background1" w:themeFillShade="D9"/>
          </w:tcPr>
          <w:p w14:paraId="70DAD9B8" w14:textId="77777777" w:rsidR="00CD60CB" w:rsidRPr="00B72BD5" w:rsidRDefault="00CD60CB" w:rsidP="00334B32">
            <w:pPr>
              <w:numPr>
                <w:ilvl w:val="0"/>
                <w:numId w:val="2"/>
              </w:numPr>
              <w:rPr>
                <w:rFonts w:cstheme="minorHAnsi"/>
                <w:lang w:val="en-ZA"/>
              </w:rPr>
            </w:pPr>
            <w:r w:rsidRPr="00B72BD5">
              <w:rPr>
                <w:rFonts w:cstheme="minorHAnsi"/>
                <w:lang w:val="en-ZA"/>
              </w:rPr>
              <w:t>OSISA</w:t>
            </w:r>
          </w:p>
        </w:tc>
        <w:tc>
          <w:tcPr>
            <w:tcW w:w="8355" w:type="dxa"/>
            <w:shd w:val="clear" w:color="auto" w:fill="auto"/>
          </w:tcPr>
          <w:p w14:paraId="16DF5D09" w14:textId="77777777" w:rsidR="00CD60CB" w:rsidRPr="00B72BD5" w:rsidRDefault="00CD60CB" w:rsidP="00334B32">
            <w:pPr>
              <w:numPr>
                <w:ilvl w:val="0"/>
                <w:numId w:val="2"/>
              </w:numPr>
              <w:rPr>
                <w:rFonts w:cstheme="minorHAnsi"/>
                <w:lang w:val="en-ZA"/>
              </w:rPr>
            </w:pPr>
            <w:r w:rsidRPr="00B72BD5">
              <w:rPr>
                <w:rFonts w:cstheme="minorHAnsi"/>
                <w:lang w:val="en-ZA"/>
              </w:rPr>
              <w:t>Open Society Initiative for Southern Africa</w:t>
            </w:r>
          </w:p>
        </w:tc>
      </w:tr>
      <w:tr w:rsidR="00CD60CB" w:rsidRPr="00B72BD5" w14:paraId="08B96942" w14:textId="77777777" w:rsidTr="00364FC3">
        <w:trPr>
          <w:trHeight w:val="283"/>
        </w:trPr>
        <w:tc>
          <w:tcPr>
            <w:tcW w:w="1273" w:type="dxa"/>
            <w:shd w:val="clear" w:color="auto" w:fill="D9D9D9" w:themeFill="background1" w:themeFillShade="D9"/>
          </w:tcPr>
          <w:p w14:paraId="45934C5E" w14:textId="77777777" w:rsidR="00CD60CB" w:rsidRPr="00B72BD5" w:rsidRDefault="00CD60CB" w:rsidP="00334B32">
            <w:pPr>
              <w:numPr>
                <w:ilvl w:val="0"/>
                <w:numId w:val="2"/>
              </w:numPr>
              <w:rPr>
                <w:rFonts w:cstheme="minorHAnsi"/>
                <w:lang w:val="en-ZA"/>
              </w:rPr>
            </w:pPr>
            <w:r w:rsidRPr="00B72BD5">
              <w:rPr>
                <w:rFonts w:cstheme="minorHAnsi"/>
                <w:lang w:val="en-ZA"/>
              </w:rPr>
              <w:t>PLHIV</w:t>
            </w:r>
          </w:p>
        </w:tc>
        <w:tc>
          <w:tcPr>
            <w:tcW w:w="8355" w:type="dxa"/>
            <w:shd w:val="clear" w:color="auto" w:fill="auto"/>
          </w:tcPr>
          <w:p w14:paraId="3EE59607" w14:textId="77777777" w:rsidR="00CD60CB" w:rsidRPr="00B72BD5" w:rsidRDefault="00CD60CB" w:rsidP="00334B32">
            <w:pPr>
              <w:numPr>
                <w:ilvl w:val="0"/>
                <w:numId w:val="2"/>
              </w:numPr>
              <w:rPr>
                <w:rFonts w:cstheme="minorHAnsi"/>
                <w:lang w:val="en-ZA"/>
              </w:rPr>
            </w:pPr>
            <w:r w:rsidRPr="00B72BD5">
              <w:rPr>
                <w:rFonts w:cstheme="minorHAnsi"/>
                <w:lang w:val="en-ZA"/>
              </w:rPr>
              <w:t>People Living with HIV</w:t>
            </w:r>
          </w:p>
        </w:tc>
      </w:tr>
      <w:tr w:rsidR="00CD60CB" w:rsidRPr="00B72BD5" w14:paraId="035F1EB3" w14:textId="77777777" w:rsidTr="00364FC3">
        <w:trPr>
          <w:trHeight w:val="283"/>
        </w:trPr>
        <w:tc>
          <w:tcPr>
            <w:tcW w:w="1273" w:type="dxa"/>
            <w:shd w:val="clear" w:color="auto" w:fill="D9D9D9" w:themeFill="background1" w:themeFillShade="D9"/>
          </w:tcPr>
          <w:p w14:paraId="4C07ACDE" w14:textId="77777777" w:rsidR="00CD60CB" w:rsidRPr="00B72BD5" w:rsidRDefault="00CD60CB" w:rsidP="00334B32">
            <w:pPr>
              <w:numPr>
                <w:ilvl w:val="0"/>
                <w:numId w:val="2"/>
              </w:numPr>
              <w:rPr>
                <w:rFonts w:cstheme="minorHAnsi"/>
                <w:lang w:val="en-ZA"/>
              </w:rPr>
            </w:pPr>
            <w:r w:rsidRPr="00B72BD5">
              <w:rPr>
                <w:rFonts w:cstheme="minorHAnsi"/>
              </w:rPr>
              <w:t xml:space="preserve">PM </w:t>
            </w:r>
          </w:p>
        </w:tc>
        <w:tc>
          <w:tcPr>
            <w:tcW w:w="8355" w:type="dxa"/>
            <w:shd w:val="clear" w:color="auto" w:fill="auto"/>
          </w:tcPr>
          <w:p w14:paraId="5D7F9AB6" w14:textId="77777777" w:rsidR="00CD60CB" w:rsidRPr="00B72BD5" w:rsidRDefault="00CD60CB" w:rsidP="00334B32">
            <w:pPr>
              <w:numPr>
                <w:ilvl w:val="0"/>
                <w:numId w:val="2"/>
              </w:numPr>
              <w:rPr>
                <w:rFonts w:cstheme="minorHAnsi"/>
                <w:lang w:val="en-ZA"/>
              </w:rPr>
            </w:pPr>
            <w:proofErr w:type="spellStart"/>
            <w:r w:rsidRPr="00B72BD5">
              <w:rPr>
                <w:rFonts w:cstheme="minorHAnsi"/>
              </w:rPr>
              <w:t>Programme</w:t>
            </w:r>
            <w:proofErr w:type="spellEnd"/>
            <w:r w:rsidRPr="00B72BD5">
              <w:rPr>
                <w:rFonts w:cstheme="minorHAnsi"/>
              </w:rPr>
              <w:t xml:space="preserve"> Manager </w:t>
            </w:r>
          </w:p>
        </w:tc>
      </w:tr>
      <w:tr w:rsidR="00CD60CB" w:rsidRPr="00B72BD5" w14:paraId="26AC3FEF" w14:textId="77777777" w:rsidTr="00364FC3">
        <w:trPr>
          <w:trHeight w:val="283"/>
        </w:trPr>
        <w:tc>
          <w:tcPr>
            <w:tcW w:w="1273" w:type="dxa"/>
            <w:shd w:val="clear" w:color="auto" w:fill="D9D9D9" w:themeFill="background1" w:themeFillShade="D9"/>
          </w:tcPr>
          <w:p w14:paraId="73295FB0" w14:textId="77777777" w:rsidR="00CD60CB" w:rsidRPr="00B72BD5" w:rsidRDefault="00CD60CB" w:rsidP="00334B32">
            <w:pPr>
              <w:numPr>
                <w:ilvl w:val="0"/>
                <w:numId w:val="2"/>
              </w:numPr>
              <w:rPr>
                <w:rFonts w:cstheme="minorHAnsi"/>
                <w:lang w:val="en-ZA"/>
              </w:rPr>
            </w:pPr>
            <w:r w:rsidRPr="00B72BD5">
              <w:rPr>
                <w:rFonts w:cstheme="minorHAnsi"/>
              </w:rPr>
              <w:t xml:space="preserve">PV </w:t>
            </w:r>
          </w:p>
        </w:tc>
        <w:tc>
          <w:tcPr>
            <w:tcW w:w="8355" w:type="dxa"/>
            <w:shd w:val="clear" w:color="auto" w:fill="auto"/>
          </w:tcPr>
          <w:p w14:paraId="1548D8A7" w14:textId="77777777" w:rsidR="00CD60CB" w:rsidRPr="00B72BD5" w:rsidRDefault="00CD60CB" w:rsidP="00334B32">
            <w:pPr>
              <w:numPr>
                <w:ilvl w:val="0"/>
                <w:numId w:val="2"/>
              </w:numPr>
              <w:rPr>
                <w:rFonts w:cstheme="minorHAnsi"/>
                <w:lang w:val="en-ZA"/>
              </w:rPr>
            </w:pPr>
            <w:r w:rsidRPr="00B72BD5">
              <w:rPr>
                <w:rFonts w:cstheme="minorHAnsi"/>
              </w:rPr>
              <w:t>Positive Vibes Trust</w:t>
            </w:r>
          </w:p>
        </w:tc>
      </w:tr>
      <w:tr w:rsidR="00CD60CB" w:rsidRPr="00B72BD5" w14:paraId="0E0FC3A3" w14:textId="77777777" w:rsidTr="00364FC3">
        <w:trPr>
          <w:trHeight w:val="283"/>
        </w:trPr>
        <w:tc>
          <w:tcPr>
            <w:tcW w:w="1273" w:type="dxa"/>
            <w:shd w:val="clear" w:color="auto" w:fill="D9D9D9" w:themeFill="background1" w:themeFillShade="D9"/>
          </w:tcPr>
          <w:p w14:paraId="391D6F51" w14:textId="77777777" w:rsidR="00CD60CB" w:rsidRPr="00B72BD5" w:rsidRDefault="00CD60CB" w:rsidP="00334B32">
            <w:pPr>
              <w:numPr>
                <w:ilvl w:val="0"/>
                <w:numId w:val="2"/>
              </w:numPr>
              <w:rPr>
                <w:rFonts w:cstheme="minorHAnsi"/>
                <w:lang w:val="en-ZA"/>
              </w:rPr>
            </w:pPr>
            <w:r w:rsidRPr="00B72BD5">
              <w:rPr>
                <w:rFonts w:cstheme="minorHAnsi"/>
                <w:lang w:val="en-ZA"/>
              </w:rPr>
              <w:t>RACOCs</w:t>
            </w:r>
          </w:p>
        </w:tc>
        <w:tc>
          <w:tcPr>
            <w:tcW w:w="8355" w:type="dxa"/>
            <w:shd w:val="clear" w:color="auto" w:fill="auto"/>
          </w:tcPr>
          <w:p w14:paraId="394458CF"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Regional Aids Coordinating Committees </w:t>
            </w:r>
          </w:p>
        </w:tc>
      </w:tr>
      <w:tr w:rsidR="00CD60CB" w:rsidRPr="00B72BD5" w14:paraId="5B851A47" w14:textId="77777777" w:rsidTr="00364FC3">
        <w:trPr>
          <w:trHeight w:val="283"/>
        </w:trPr>
        <w:tc>
          <w:tcPr>
            <w:tcW w:w="1273" w:type="dxa"/>
            <w:shd w:val="clear" w:color="auto" w:fill="D9D9D9" w:themeFill="background1" w:themeFillShade="D9"/>
          </w:tcPr>
          <w:p w14:paraId="0DD0EDCE" w14:textId="77777777" w:rsidR="00CD60CB" w:rsidRPr="00B72BD5" w:rsidRDefault="00CD60CB" w:rsidP="00334B32">
            <w:pPr>
              <w:numPr>
                <w:ilvl w:val="0"/>
                <w:numId w:val="2"/>
              </w:numPr>
              <w:rPr>
                <w:rFonts w:cstheme="minorHAnsi"/>
                <w:lang w:val="en-ZA"/>
              </w:rPr>
            </w:pPr>
            <w:r w:rsidRPr="00B72BD5">
              <w:rPr>
                <w:rFonts w:cstheme="minorHAnsi"/>
                <w:lang w:val="en-ZA"/>
              </w:rPr>
              <w:t>RCC</w:t>
            </w:r>
          </w:p>
        </w:tc>
        <w:tc>
          <w:tcPr>
            <w:tcW w:w="8355" w:type="dxa"/>
            <w:shd w:val="clear" w:color="auto" w:fill="auto"/>
          </w:tcPr>
          <w:p w14:paraId="233FA40C" w14:textId="77777777" w:rsidR="00CD60CB" w:rsidRPr="00B72BD5" w:rsidRDefault="00CD60CB" w:rsidP="00334B32">
            <w:pPr>
              <w:numPr>
                <w:ilvl w:val="0"/>
                <w:numId w:val="2"/>
              </w:numPr>
              <w:rPr>
                <w:rFonts w:cstheme="minorHAnsi"/>
                <w:lang w:val="en-ZA"/>
              </w:rPr>
            </w:pPr>
            <w:r w:rsidRPr="00B72BD5">
              <w:rPr>
                <w:rFonts w:cstheme="minorHAnsi"/>
                <w:lang w:val="en-ZA"/>
              </w:rPr>
              <w:t>Regional Community Coordinators</w:t>
            </w:r>
          </w:p>
        </w:tc>
      </w:tr>
      <w:tr w:rsidR="00CD60CB" w:rsidRPr="00BD388B" w14:paraId="144AC039" w14:textId="77777777" w:rsidTr="00364FC3">
        <w:trPr>
          <w:trHeight w:val="283"/>
        </w:trPr>
        <w:tc>
          <w:tcPr>
            <w:tcW w:w="1273" w:type="dxa"/>
            <w:shd w:val="clear" w:color="auto" w:fill="D9D9D9" w:themeFill="background1" w:themeFillShade="D9"/>
          </w:tcPr>
          <w:p w14:paraId="1C4DFF4B" w14:textId="77777777" w:rsidR="00CD60CB" w:rsidRPr="00B72BD5" w:rsidRDefault="00CD60CB" w:rsidP="00334B32">
            <w:pPr>
              <w:numPr>
                <w:ilvl w:val="0"/>
                <w:numId w:val="2"/>
              </w:numPr>
              <w:rPr>
                <w:rFonts w:cstheme="minorHAnsi"/>
                <w:lang w:val="en-ZA"/>
              </w:rPr>
            </w:pPr>
            <w:r w:rsidRPr="00B72BD5">
              <w:rPr>
                <w:rFonts w:cstheme="minorHAnsi"/>
                <w:lang w:val="en-ZA"/>
              </w:rPr>
              <w:t>SGBV</w:t>
            </w:r>
          </w:p>
        </w:tc>
        <w:tc>
          <w:tcPr>
            <w:tcW w:w="8355" w:type="dxa"/>
            <w:shd w:val="clear" w:color="auto" w:fill="auto"/>
          </w:tcPr>
          <w:p w14:paraId="7747B07E" w14:textId="77777777" w:rsidR="00CD60CB" w:rsidRPr="00B72BD5" w:rsidRDefault="00CD60CB" w:rsidP="00334B32">
            <w:pPr>
              <w:numPr>
                <w:ilvl w:val="0"/>
                <w:numId w:val="2"/>
              </w:numPr>
              <w:rPr>
                <w:rFonts w:cstheme="minorHAnsi"/>
                <w:lang w:val="en-ZA"/>
              </w:rPr>
            </w:pPr>
            <w:r w:rsidRPr="00B72BD5">
              <w:rPr>
                <w:rFonts w:cstheme="minorHAnsi"/>
                <w:lang w:val="en-ZA"/>
              </w:rPr>
              <w:t xml:space="preserve">Sexual and Gender based Violence </w:t>
            </w:r>
          </w:p>
        </w:tc>
      </w:tr>
      <w:tr w:rsidR="00CD60CB" w:rsidRPr="00BD388B" w14:paraId="47A33935" w14:textId="77777777" w:rsidTr="00364FC3">
        <w:trPr>
          <w:trHeight w:val="283"/>
        </w:trPr>
        <w:tc>
          <w:tcPr>
            <w:tcW w:w="1273" w:type="dxa"/>
            <w:shd w:val="clear" w:color="auto" w:fill="D9D9D9" w:themeFill="background1" w:themeFillShade="D9"/>
          </w:tcPr>
          <w:p w14:paraId="12BCF44C" w14:textId="77777777" w:rsidR="00CD60CB" w:rsidRPr="00B72BD5" w:rsidRDefault="00CD60CB" w:rsidP="00334B32">
            <w:pPr>
              <w:numPr>
                <w:ilvl w:val="0"/>
                <w:numId w:val="2"/>
              </w:numPr>
              <w:rPr>
                <w:rFonts w:cstheme="minorHAnsi"/>
                <w:lang w:val="en-ZA"/>
              </w:rPr>
            </w:pPr>
            <w:r w:rsidRPr="00B72BD5">
              <w:rPr>
                <w:rFonts w:cstheme="minorHAnsi"/>
                <w:lang w:val="en-ZA"/>
              </w:rPr>
              <w:t>SOGIE</w:t>
            </w:r>
          </w:p>
        </w:tc>
        <w:tc>
          <w:tcPr>
            <w:tcW w:w="8355" w:type="dxa"/>
            <w:shd w:val="clear" w:color="auto" w:fill="auto"/>
          </w:tcPr>
          <w:p w14:paraId="75F4B3D0" w14:textId="77777777" w:rsidR="00CD60CB" w:rsidRPr="00B72BD5" w:rsidRDefault="00CD60CB" w:rsidP="00334B32">
            <w:pPr>
              <w:numPr>
                <w:ilvl w:val="0"/>
                <w:numId w:val="2"/>
              </w:numPr>
              <w:rPr>
                <w:rFonts w:cstheme="minorHAnsi"/>
                <w:lang w:val="en-ZA"/>
              </w:rPr>
            </w:pPr>
            <w:r w:rsidRPr="00B72BD5">
              <w:rPr>
                <w:rFonts w:cstheme="minorHAnsi"/>
                <w:lang w:val="en-ZA"/>
              </w:rPr>
              <w:t>Sexual Orientation, Gender Identity and Expression</w:t>
            </w:r>
          </w:p>
        </w:tc>
      </w:tr>
      <w:tr w:rsidR="00CD60CB" w:rsidRPr="00B72BD5" w14:paraId="4D7BB4C2" w14:textId="77777777" w:rsidTr="00364FC3">
        <w:trPr>
          <w:trHeight w:val="283"/>
        </w:trPr>
        <w:tc>
          <w:tcPr>
            <w:tcW w:w="1273" w:type="dxa"/>
            <w:shd w:val="clear" w:color="auto" w:fill="D9D9D9" w:themeFill="background1" w:themeFillShade="D9"/>
          </w:tcPr>
          <w:p w14:paraId="5BD68FD4" w14:textId="77777777" w:rsidR="00CD60CB" w:rsidRPr="00B72BD5" w:rsidRDefault="00CD60CB" w:rsidP="00334B32">
            <w:pPr>
              <w:numPr>
                <w:ilvl w:val="0"/>
                <w:numId w:val="2"/>
              </w:numPr>
              <w:rPr>
                <w:rFonts w:cstheme="minorHAnsi"/>
                <w:lang w:val="en-ZA"/>
              </w:rPr>
            </w:pPr>
            <w:r w:rsidRPr="00B72BD5">
              <w:rPr>
                <w:rFonts w:cstheme="minorHAnsi"/>
                <w:lang w:val="en-ZA"/>
              </w:rPr>
              <w:t>Spor</w:t>
            </w:r>
          </w:p>
        </w:tc>
        <w:tc>
          <w:tcPr>
            <w:tcW w:w="8355" w:type="dxa"/>
            <w:shd w:val="clear" w:color="auto" w:fill="auto"/>
          </w:tcPr>
          <w:p w14:paraId="51588F3B" w14:textId="77777777" w:rsidR="00CD60CB" w:rsidRPr="00B72BD5" w:rsidRDefault="00CD60CB" w:rsidP="00334B32">
            <w:pPr>
              <w:numPr>
                <w:ilvl w:val="0"/>
                <w:numId w:val="2"/>
              </w:numPr>
              <w:rPr>
                <w:rFonts w:cstheme="minorHAnsi"/>
                <w:lang w:val="en-ZA"/>
              </w:rPr>
            </w:pPr>
            <w:r w:rsidRPr="00B72BD5">
              <w:rPr>
                <w:rFonts w:cstheme="minorHAnsi"/>
                <w:lang w:val="en-ZA"/>
              </w:rPr>
              <w:t>Spor Media</w:t>
            </w:r>
          </w:p>
        </w:tc>
      </w:tr>
      <w:tr w:rsidR="00CD60CB" w:rsidRPr="00BD388B" w14:paraId="75350D93" w14:textId="77777777" w:rsidTr="00364FC3">
        <w:trPr>
          <w:trHeight w:val="283"/>
        </w:trPr>
        <w:tc>
          <w:tcPr>
            <w:tcW w:w="1273" w:type="dxa"/>
            <w:shd w:val="clear" w:color="auto" w:fill="D9D9D9" w:themeFill="background1" w:themeFillShade="D9"/>
          </w:tcPr>
          <w:p w14:paraId="1DD246A7" w14:textId="77777777" w:rsidR="00CD60CB" w:rsidRPr="00B72BD5" w:rsidRDefault="00CD60CB" w:rsidP="00334B32">
            <w:pPr>
              <w:numPr>
                <w:ilvl w:val="0"/>
                <w:numId w:val="2"/>
              </w:numPr>
              <w:rPr>
                <w:rFonts w:cstheme="minorHAnsi"/>
                <w:lang w:val="en-ZA"/>
              </w:rPr>
            </w:pPr>
            <w:r w:rsidRPr="00B72BD5">
              <w:rPr>
                <w:rFonts w:cstheme="minorHAnsi"/>
                <w:lang w:val="en-ZA"/>
              </w:rPr>
              <w:t>SRH-R</w:t>
            </w:r>
          </w:p>
        </w:tc>
        <w:tc>
          <w:tcPr>
            <w:tcW w:w="8355" w:type="dxa"/>
            <w:shd w:val="clear" w:color="auto" w:fill="auto"/>
          </w:tcPr>
          <w:p w14:paraId="26ED35C8" w14:textId="77777777" w:rsidR="00CD60CB" w:rsidRPr="00B72BD5" w:rsidRDefault="00CD60CB" w:rsidP="00334B32">
            <w:pPr>
              <w:numPr>
                <w:ilvl w:val="0"/>
                <w:numId w:val="2"/>
              </w:numPr>
              <w:rPr>
                <w:rFonts w:cstheme="minorHAnsi"/>
                <w:lang w:val="en-ZA"/>
              </w:rPr>
            </w:pPr>
            <w:r w:rsidRPr="00B72BD5">
              <w:rPr>
                <w:rFonts w:cstheme="minorHAnsi"/>
                <w:lang w:val="en-ZA"/>
              </w:rPr>
              <w:t>Sexual and Reproductive Health and Rights</w:t>
            </w:r>
          </w:p>
        </w:tc>
      </w:tr>
      <w:tr w:rsidR="00CD60CB" w:rsidRPr="00B72BD5" w14:paraId="1894F4EF" w14:textId="77777777" w:rsidTr="00364FC3">
        <w:trPr>
          <w:trHeight w:val="283"/>
        </w:trPr>
        <w:tc>
          <w:tcPr>
            <w:tcW w:w="1273" w:type="dxa"/>
            <w:tcBorders>
              <w:bottom w:val="single" w:sz="4" w:space="0" w:color="auto"/>
            </w:tcBorders>
            <w:shd w:val="clear" w:color="auto" w:fill="D9D9D9" w:themeFill="background1" w:themeFillShade="D9"/>
          </w:tcPr>
          <w:p w14:paraId="0F56AB07" w14:textId="77777777" w:rsidR="00CD60CB" w:rsidRPr="00B72BD5" w:rsidRDefault="00CD60CB" w:rsidP="00334B32">
            <w:pPr>
              <w:numPr>
                <w:ilvl w:val="0"/>
                <w:numId w:val="2"/>
              </w:numPr>
              <w:rPr>
                <w:rFonts w:cstheme="minorHAnsi"/>
                <w:lang w:val="en-ZA"/>
              </w:rPr>
            </w:pPr>
            <w:r w:rsidRPr="00B72BD5">
              <w:rPr>
                <w:rFonts w:cstheme="minorHAnsi"/>
                <w:lang w:val="en-ZA"/>
              </w:rPr>
              <w:t>TWG</w:t>
            </w:r>
          </w:p>
        </w:tc>
        <w:tc>
          <w:tcPr>
            <w:tcW w:w="8355" w:type="dxa"/>
            <w:tcBorders>
              <w:bottom w:val="single" w:sz="4" w:space="0" w:color="auto"/>
            </w:tcBorders>
            <w:shd w:val="clear" w:color="auto" w:fill="auto"/>
          </w:tcPr>
          <w:p w14:paraId="0AEBF14E" w14:textId="77777777" w:rsidR="00CD60CB" w:rsidRPr="00B72BD5" w:rsidRDefault="00CD60CB" w:rsidP="00334B32">
            <w:pPr>
              <w:numPr>
                <w:ilvl w:val="0"/>
                <w:numId w:val="2"/>
              </w:numPr>
              <w:rPr>
                <w:rFonts w:cstheme="minorHAnsi"/>
                <w:lang w:val="en-ZA"/>
              </w:rPr>
            </w:pPr>
            <w:r w:rsidRPr="00B72BD5">
              <w:rPr>
                <w:rFonts w:cstheme="minorHAnsi"/>
                <w:lang w:val="en-ZA"/>
              </w:rPr>
              <w:t>Technical Working Group</w:t>
            </w:r>
          </w:p>
        </w:tc>
      </w:tr>
    </w:tbl>
    <w:p w14:paraId="25854620" w14:textId="77777777" w:rsidR="00CD60CB" w:rsidRPr="00B72BD5" w:rsidRDefault="00CD60CB" w:rsidP="00334B32">
      <w:pPr>
        <w:rPr>
          <w:rFonts w:cstheme="minorHAnsi"/>
          <w:sz w:val="22"/>
          <w:szCs w:val="22"/>
          <w:lang w:val="en-ZA"/>
        </w:rPr>
      </w:pPr>
    </w:p>
    <w:p w14:paraId="04DFF02D" w14:textId="77777777" w:rsidR="00CD60CB" w:rsidRPr="00B72BD5" w:rsidRDefault="00CD60CB" w:rsidP="00334B32">
      <w:pPr>
        <w:rPr>
          <w:rFonts w:cstheme="minorHAnsi"/>
          <w:sz w:val="22"/>
          <w:szCs w:val="22"/>
          <w:lang w:val="en-ZA"/>
        </w:rPr>
      </w:pPr>
    </w:p>
    <w:p w14:paraId="1E0DAAD1" w14:textId="3DF5264E" w:rsidR="00CD60CB" w:rsidRPr="00B72BD5" w:rsidRDefault="00CD60CB" w:rsidP="00334B32">
      <w:pPr>
        <w:rPr>
          <w:rFonts w:cstheme="minorHAnsi"/>
          <w:sz w:val="22"/>
          <w:szCs w:val="22"/>
          <w:lang w:val="en-ZA"/>
        </w:rPr>
      </w:pPr>
    </w:p>
    <w:p w14:paraId="7182DF81" w14:textId="4618F1EE" w:rsidR="00A15175" w:rsidRPr="00B72BD5" w:rsidRDefault="00A15175" w:rsidP="00334B32">
      <w:pPr>
        <w:rPr>
          <w:rFonts w:cstheme="minorHAnsi"/>
          <w:sz w:val="22"/>
          <w:szCs w:val="22"/>
        </w:rPr>
      </w:pPr>
    </w:p>
    <w:p w14:paraId="2F383765" w14:textId="77777777" w:rsidR="00EA6852" w:rsidRPr="00B72BD5" w:rsidRDefault="00EA6852" w:rsidP="00EA6852">
      <w:pPr>
        <w:rPr>
          <w:rFonts w:cstheme="minorHAnsi"/>
        </w:rPr>
      </w:pPr>
    </w:p>
    <w:tbl>
      <w:tblPr>
        <w:tblStyle w:val="TableGrid"/>
        <w:tblW w:w="0" w:type="auto"/>
        <w:tblLook w:val="04A0" w:firstRow="1" w:lastRow="0" w:firstColumn="1" w:lastColumn="0" w:noHBand="0" w:noVBand="1"/>
      </w:tblPr>
      <w:tblGrid>
        <w:gridCol w:w="2405"/>
        <w:gridCol w:w="7217"/>
      </w:tblGrid>
      <w:tr w:rsidR="00EA6852" w:rsidRPr="00B72BD5" w14:paraId="76902E24" w14:textId="77777777" w:rsidTr="00412642">
        <w:tc>
          <w:tcPr>
            <w:tcW w:w="2405" w:type="dxa"/>
          </w:tcPr>
          <w:p w14:paraId="1AB1E1F4" w14:textId="77777777" w:rsidR="00EA6852" w:rsidRPr="00B72BD5" w:rsidRDefault="00EA6852" w:rsidP="00FD484C">
            <w:pPr>
              <w:rPr>
                <w:sz w:val="22"/>
                <w:szCs w:val="22"/>
              </w:rPr>
            </w:pPr>
            <w:r w:rsidRPr="00B72BD5">
              <w:rPr>
                <w:sz w:val="22"/>
                <w:szCs w:val="22"/>
              </w:rPr>
              <w:t>Danish organisation</w:t>
            </w:r>
          </w:p>
        </w:tc>
        <w:tc>
          <w:tcPr>
            <w:tcW w:w="7217" w:type="dxa"/>
            <w:shd w:val="clear" w:color="auto" w:fill="auto"/>
          </w:tcPr>
          <w:p w14:paraId="35361353" w14:textId="265565FF" w:rsidR="00EA6852" w:rsidRPr="00E14559" w:rsidRDefault="00AC3420" w:rsidP="00FD484C">
            <w:pPr>
              <w:rPr>
                <w:sz w:val="22"/>
                <w:szCs w:val="22"/>
              </w:rPr>
            </w:pPr>
            <w:r w:rsidRPr="00E14559">
              <w:rPr>
                <w:sz w:val="22"/>
                <w:szCs w:val="22"/>
              </w:rPr>
              <w:t>Spor Media</w:t>
            </w:r>
          </w:p>
        </w:tc>
      </w:tr>
      <w:tr w:rsidR="00EA6852" w:rsidRPr="00BD388B" w14:paraId="194AB8DC" w14:textId="77777777" w:rsidTr="00412642">
        <w:tc>
          <w:tcPr>
            <w:tcW w:w="2405" w:type="dxa"/>
          </w:tcPr>
          <w:p w14:paraId="144716DD" w14:textId="77777777" w:rsidR="00EA6852" w:rsidRPr="00B72BD5" w:rsidRDefault="00EA6852" w:rsidP="00FD484C">
            <w:pPr>
              <w:rPr>
                <w:sz w:val="22"/>
                <w:szCs w:val="22"/>
              </w:rPr>
            </w:pPr>
            <w:r w:rsidRPr="00B72BD5">
              <w:rPr>
                <w:sz w:val="22"/>
                <w:szCs w:val="22"/>
              </w:rPr>
              <w:t>Title of the intervention</w:t>
            </w:r>
          </w:p>
        </w:tc>
        <w:tc>
          <w:tcPr>
            <w:tcW w:w="7217" w:type="dxa"/>
            <w:shd w:val="clear" w:color="auto" w:fill="auto"/>
          </w:tcPr>
          <w:p w14:paraId="61C57DB1" w14:textId="1376266C" w:rsidR="00AC3420" w:rsidRPr="00707DC4" w:rsidRDefault="00AC3420" w:rsidP="00AC3420">
            <w:pPr>
              <w:rPr>
                <w:sz w:val="22"/>
                <w:szCs w:val="22"/>
                <w:lang w:val="en-ZA"/>
              </w:rPr>
            </w:pPr>
            <w:r w:rsidRPr="00707DC4">
              <w:rPr>
                <w:sz w:val="22"/>
                <w:szCs w:val="22"/>
                <w:lang w:val="en-ZA"/>
              </w:rPr>
              <w:t xml:space="preserve">Inclusion, </w:t>
            </w:r>
            <w:proofErr w:type="gramStart"/>
            <w:r w:rsidRPr="00707DC4">
              <w:rPr>
                <w:sz w:val="22"/>
                <w:szCs w:val="22"/>
                <w:lang w:val="en-ZA"/>
              </w:rPr>
              <w:t>acceptance</w:t>
            </w:r>
            <w:proofErr w:type="gramEnd"/>
            <w:r w:rsidRPr="00707DC4">
              <w:rPr>
                <w:sz w:val="22"/>
                <w:szCs w:val="22"/>
                <w:lang w:val="en-ZA"/>
              </w:rPr>
              <w:t xml:space="preserve"> and safety – </w:t>
            </w:r>
            <w:r w:rsidR="005E2166" w:rsidRPr="00707DC4">
              <w:rPr>
                <w:sz w:val="22"/>
                <w:szCs w:val="22"/>
                <w:lang w:val="en-ZA"/>
              </w:rPr>
              <w:t>Enhancing Partner responses</w:t>
            </w:r>
            <w:r w:rsidRPr="00707DC4">
              <w:rPr>
                <w:sz w:val="22"/>
                <w:szCs w:val="22"/>
                <w:lang w:val="en-ZA"/>
              </w:rPr>
              <w:t xml:space="preserve">: </w:t>
            </w:r>
          </w:p>
          <w:p w14:paraId="0644D276" w14:textId="7647EB22" w:rsidR="00EA6852" w:rsidRPr="00E14559" w:rsidRDefault="00287882" w:rsidP="00275001">
            <w:pPr>
              <w:rPr>
                <w:sz w:val="22"/>
                <w:szCs w:val="22"/>
                <w:lang w:val="en-ZA"/>
              </w:rPr>
            </w:pPr>
            <w:r w:rsidRPr="00707DC4">
              <w:rPr>
                <w:sz w:val="22"/>
                <w:szCs w:val="22"/>
                <w:lang w:val="en-ZA"/>
              </w:rPr>
              <w:t>A</w:t>
            </w:r>
            <w:r w:rsidR="00AC3420" w:rsidRPr="00707DC4">
              <w:rPr>
                <w:sz w:val="22"/>
                <w:szCs w:val="22"/>
                <w:lang w:val="en-ZA"/>
              </w:rPr>
              <w:t>ddressing marginalised &amp;</w:t>
            </w:r>
            <w:r w:rsidR="00BC2256" w:rsidRPr="00707DC4">
              <w:rPr>
                <w:sz w:val="22"/>
                <w:szCs w:val="22"/>
                <w:lang w:val="en-ZA"/>
              </w:rPr>
              <w:t xml:space="preserve"> vulnerable</w:t>
            </w:r>
            <w:r w:rsidR="00AC3420" w:rsidRPr="00707DC4">
              <w:rPr>
                <w:sz w:val="22"/>
                <w:szCs w:val="22"/>
                <w:lang w:val="en-ZA"/>
              </w:rPr>
              <w:t xml:space="preserve"> youth </w:t>
            </w:r>
            <w:r w:rsidR="00BC2256" w:rsidRPr="00707DC4">
              <w:rPr>
                <w:sz w:val="22"/>
                <w:szCs w:val="22"/>
                <w:lang w:val="en-ZA"/>
              </w:rPr>
              <w:t>in</w:t>
            </w:r>
            <w:r w:rsidR="00AC3420" w:rsidRPr="00707DC4">
              <w:rPr>
                <w:sz w:val="22"/>
                <w:szCs w:val="22"/>
                <w:lang w:val="en-ZA"/>
              </w:rPr>
              <w:t xml:space="preserve"> Namibian </w:t>
            </w:r>
            <w:r w:rsidR="00BC2256" w:rsidRPr="00707DC4">
              <w:rPr>
                <w:sz w:val="22"/>
                <w:szCs w:val="22"/>
                <w:lang w:val="en-ZA"/>
              </w:rPr>
              <w:t>community and state responses.</w:t>
            </w:r>
          </w:p>
        </w:tc>
      </w:tr>
      <w:tr w:rsidR="00EA6852" w:rsidRPr="00B72BD5" w14:paraId="7E97AB2D" w14:textId="77777777" w:rsidTr="00412642">
        <w:tc>
          <w:tcPr>
            <w:tcW w:w="2405" w:type="dxa"/>
          </w:tcPr>
          <w:p w14:paraId="62A2880B" w14:textId="77777777" w:rsidR="00EA6852" w:rsidRPr="00B72BD5" w:rsidRDefault="00EA6852" w:rsidP="00FD484C">
            <w:pPr>
              <w:rPr>
                <w:sz w:val="22"/>
                <w:szCs w:val="22"/>
              </w:rPr>
            </w:pPr>
            <w:r w:rsidRPr="00B72BD5">
              <w:rPr>
                <w:sz w:val="22"/>
                <w:szCs w:val="22"/>
              </w:rPr>
              <w:t xml:space="preserve">Partner </w:t>
            </w:r>
            <w:proofErr w:type="spellStart"/>
            <w:r w:rsidRPr="00B72BD5">
              <w:rPr>
                <w:sz w:val="22"/>
                <w:szCs w:val="22"/>
              </w:rPr>
              <w:t>name</w:t>
            </w:r>
            <w:proofErr w:type="spellEnd"/>
            <w:r w:rsidRPr="00B72BD5">
              <w:rPr>
                <w:sz w:val="22"/>
                <w:szCs w:val="22"/>
              </w:rPr>
              <w:t>(s)</w:t>
            </w:r>
          </w:p>
        </w:tc>
        <w:tc>
          <w:tcPr>
            <w:tcW w:w="7217" w:type="dxa"/>
            <w:shd w:val="clear" w:color="auto" w:fill="auto"/>
          </w:tcPr>
          <w:p w14:paraId="1049E9B6" w14:textId="3DDAAE9D" w:rsidR="00EA6852" w:rsidRPr="00E14559" w:rsidRDefault="00BC2256" w:rsidP="00FD484C">
            <w:pPr>
              <w:rPr>
                <w:sz w:val="22"/>
                <w:szCs w:val="22"/>
              </w:rPr>
            </w:pPr>
            <w:r w:rsidRPr="00E14559">
              <w:rPr>
                <w:sz w:val="22"/>
                <w:szCs w:val="22"/>
              </w:rPr>
              <w:t>Positive Vibes Trust</w:t>
            </w:r>
          </w:p>
        </w:tc>
      </w:tr>
      <w:tr w:rsidR="00EA6852" w:rsidRPr="00B72BD5" w14:paraId="446C7660" w14:textId="77777777" w:rsidTr="00412642">
        <w:tc>
          <w:tcPr>
            <w:tcW w:w="2405" w:type="dxa"/>
          </w:tcPr>
          <w:p w14:paraId="1B8EE92B" w14:textId="77777777" w:rsidR="00EA6852" w:rsidRPr="00B72BD5" w:rsidRDefault="00EA6852" w:rsidP="00FD484C">
            <w:pPr>
              <w:rPr>
                <w:sz w:val="22"/>
                <w:szCs w:val="22"/>
              </w:rPr>
            </w:pPr>
            <w:proofErr w:type="spellStart"/>
            <w:r w:rsidRPr="00B72BD5">
              <w:rPr>
                <w:sz w:val="22"/>
                <w:szCs w:val="22"/>
              </w:rPr>
              <w:t>Amount</w:t>
            </w:r>
            <w:proofErr w:type="spellEnd"/>
            <w:r w:rsidRPr="00B72BD5">
              <w:rPr>
                <w:sz w:val="22"/>
                <w:szCs w:val="22"/>
              </w:rPr>
              <w:t xml:space="preserve"> </w:t>
            </w:r>
            <w:proofErr w:type="spellStart"/>
            <w:r w:rsidRPr="00B72BD5">
              <w:rPr>
                <w:sz w:val="22"/>
                <w:szCs w:val="22"/>
              </w:rPr>
              <w:t>applied</w:t>
            </w:r>
            <w:proofErr w:type="spellEnd"/>
            <w:r w:rsidRPr="00B72BD5">
              <w:rPr>
                <w:sz w:val="22"/>
                <w:szCs w:val="22"/>
              </w:rPr>
              <w:t xml:space="preserve"> for</w:t>
            </w:r>
          </w:p>
        </w:tc>
        <w:tc>
          <w:tcPr>
            <w:tcW w:w="7217" w:type="dxa"/>
            <w:shd w:val="clear" w:color="auto" w:fill="auto"/>
          </w:tcPr>
          <w:p w14:paraId="5493C7FF" w14:textId="327B5ACB" w:rsidR="00EA6852" w:rsidRPr="006F644F" w:rsidRDefault="00F06FF0" w:rsidP="00F06FF0">
            <w:pPr>
              <w:rPr>
                <w:sz w:val="22"/>
                <w:szCs w:val="22"/>
                <w:highlight w:val="yellow"/>
              </w:rPr>
            </w:pPr>
            <w:r w:rsidRPr="005261A0">
              <w:rPr>
                <w:rFonts w:ascii="Calibri" w:hAnsi="Calibri" w:cs="Calibri"/>
                <w:sz w:val="22"/>
                <w:szCs w:val="22"/>
              </w:rPr>
              <w:t xml:space="preserve">DKK </w:t>
            </w:r>
            <w:r w:rsidR="005261A0" w:rsidRPr="005261A0">
              <w:rPr>
                <w:rFonts w:ascii="Calibri" w:hAnsi="Calibri" w:cs="Calibri"/>
                <w:sz w:val="22"/>
                <w:szCs w:val="22"/>
              </w:rPr>
              <w:t>999953</w:t>
            </w:r>
          </w:p>
        </w:tc>
      </w:tr>
      <w:tr w:rsidR="00EA6852" w:rsidRPr="00B72BD5" w14:paraId="1154CDC7" w14:textId="77777777" w:rsidTr="00412642">
        <w:tc>
          <w:tcPr>
            <w:tcW w:w="2405" w:type="dxa"/>
          </w:tcPr>
          <w:p w14:paraId="10061A91" w14:textId="77777777" w:rsidR="00EA6852" w:rsidRPr="00B72BD5" w:rsidRDefault="00EA6852" w:rsidP="00FD484C">
            <w:pPr>
              <w:rPr>
                <w:sz w:val="22"/>
                <w:szCs w:val="22"/>
              </w:rPr>
            </w:pPr>
            <w:r w:rsidRPr="00B72BD5">
              <w:rPr>
                <w:sz w:val="22"/>
                <w:szCs w:val="22"/>
              </w:rPr>
              <w:t>Country(</w:t>
            </w:r>
            <w:proofErr w:type="spellStart"/>
            <w:r w:rsidRPr="00B72BD5">
              <w:rPr>
                <w:sz w:val="22"/>
                <w:szCs w:val="22"/>
              </w:rPr>
              <w:t>ies</w:t>
            </w:r>
            <w:proofErr w:type="spellEnd"/>
            <w:r w:rsidRPr="00B72BD5">
              <w:rPr>
                <w:sz w:val="22"/>
                <w:szCs w:val="22"/>
              </w:rPr>
              <w:t>)</w:t>
            </w:r>
          </w:p>
        </w:tc>
        <w:tc>
          <w:tcPr>
            <w:tcW w:w="7217" w:type="dxa"/>
            <w:shd w:val="clear" w:color="auto" w:fill="auto"/>
          </w:tcPr>
          <w:p w14:paraId="5535F069" w14:textId="0B5793C4" w:rsidR="00EA6852" w:rsidRPr="006F644F" w:rsidRDefault="00BC2256" w:rsidP="00FD484C">
            <w:pPr>
              <w:rPr>
                <w:sz w:val="22"/>
                <w:szCs w:val="22"/>
                <w:highlight w:val="yellow"/>
              </w:rPr>
            </w:pPr>
            <w:r w:rsidRPr="00E14559">
              <w:rPr>
                <w:sz w:val="22"/>
                <w:szCs w:val="22"/>
              </w:rPr>
              <w:t>Namibia</w:t>
            </w:r>
          </w:p>
        </w:tc>
      </w:tr>
      <w:tr w:rsidR="00EA6852" w:rsidRPr="00B72BD5" w14:paraId="3D368EAF" w14:textId="77777777" w:rsidTr="00412642">
        <w:tc>
          <w:tcPr>
            <w:tcW w:w="2405" w:type="dxa"/>
          </w:tcPr>
          <w:p w14:paraId="7D6718C4" w14:textId="77777777" w:rsidR="00EA6852" w:rsidRPr="00B72BD5" w:rsidRDefault="00EA6852" w:rsidP="00FD484C">
            <w:pPr>
              <w:rPr>
                <w:sz w:val="22"/>
                <w:szCs w:val="22"/>
              </w:rPr>
            </w:pPr>
            <w:proofErr w:type="spellStart"/>
            <w:r w:rsidRPr="00B72BD5">
              <w:rPr>
                <w:sz w:val="22"/>
                <w:szCs w:val="22"/>
              </w:rPr>
              <w:t>Period</w:t>
            </w:r>
            <w:proofErr w:type="spellEnd"/>
            <w:r w:rsidRPr="00B72BD5">
              <w:rPr>
                <w:sz w:val="22"/>
                <w:szCs w:val="22"/>
              </w:rPr>
              <w:t xml:space="preserve"> (# of </w:t>
            </w:r>
            <w:proofErr w:type="spellStart"/>
            <w:r w:rsidRPr="00B72BD5">
              <w:rPr>
                <w:sz w:val="22"/>
                <w:szCs w:val="22"/>
              </w:rPr>
              <w:t>months</w:t>
            </w:r>
            <w:proofErr w:type="spellEnd"/>
            <w:r w:rsidRPr="00B72BD5">
              <w:rPr>
                <w:sz w:val="22"/>
                <w:szCs w:val="22"/>
              </w:rPr>
              <w:t>)</w:t>
            </w:r>
          </w:p>
        </w:tc>
        <w:tc>
          <w:tcPr>
            <w:tcW w:w="7217" w:type="dxa"/>
            <w:shd w:val="clear" w:color="auto" w:fill="auto"/>
          </w:tcPr>
          <w:p w14:paraId="772E105C" w14:textId="35E4560A" w:rsidR="00EA6852" w:rsidRPr="006E2F06" w:rsidRDefault="005261A0" w:rsidP="00FD484C">
            <w:pPr>
              <w:rPr>
                <w:sz w:val="22"/>
                <w:szCs w:val="22"/>
                <w:highlight w:val="yellow"/>
                <w:lang w:val="en-ZA"/>
              </w:rPr>
            </w:pPr>
            <w:r w:rsidRPr="005261A0">
              <w:rPr>
                <w:sz w:val="22"/>
                <w:szCs w:val="22"/>
                <w:lang w:val="en-ZA"/>
              </w:rPr>
              <w:t>12</w:t>
            </w:r>
          </w:p>
        </w:tc>
      </w:tr>
    </w:tbl>
    <w:p w14:paraId="6819351E" w14:textId="77777777" w:rsidR="00EA6852" w:rsidRPr="00B72BD5" w:rsidRDefault="00EA6852" w:rsidP="00334B32">
      <w:pPr>
        <w:rPr>
          <w:rFonts w:cstheme="minorHAnsi"/>
          <w:sz w:val="22"/>
          <w:szCs w:val="22"/>
        </w:rPr>
      </w:pPr>
    </w:p>
    <w:p w14:paraId="157BE1E4" w14:textId="3AA1B13D" w:rsidR="00FD1DD2" w:rsidRPr="00B72BD5" w:rsidRDefault="00D721A7" w:rsidP="00334B32">
      <w:pPr>
        <w:rPr>
          <w:rFonts w:cstheme="minorHAnsi"/>
          <w:sz w:val="22"/>
          <w:szCs w:val="22"/>
        </w:rPr>
      </w:pPr>
      <w:r w:rsidRPr="00B72BD5">
        <w:rPr>
          <w:rFonts w:cstheme="minorHAnsi"/>
          <w:noProof/>
        </w:rPr>
        <mc:AlternateContent>
          <mc:Choice Requires="wps">
            <w:drawing>
              <wp:anchor distT="0" distB="0" distL="114300" distR="114300" simplePos="0" relativeHeight="251659264" behindDoc="0" locked="0" layoutInCell="1" allowOverlap="1" wp14:anchorId="3F0A5912" wp14:editId="1D46C1DF">
                <wp:simplePos x="0" y="0"/>
                <wp:positionH relativeFrom="margin">
                  <wp:align>right</wp:align>
                </wp:positionH>
                <wp:positionV relativeFrom="page">
                  <wp:posOffset>1129030</wp:posOffset>
                </wp:positionV>
                <wp:extent cx="6108700" cy="45085"/>
                <wp:effectExtent l="0" t="0" r="6350" b="0"/>
                <wp:wrapSquare wrapText="bothSides"/>
                <wp:docPr id="2" name="Text Box 2"/>
                <wp:cNvGraphicFramePr/>
                <a:graphic xmlns:a="http://schemas.openxmlformats.org/drawingml/2006/main">
                  <a:graphicData uri="http://schemas.microsoft.com/office/word/2010/wordprocessingShape">
                    <wps:wsp>
                      <wps:cNvSpPr txBox="1"/>
                      <wps:spPr>
                        <a:xfrm flipV="1">
                          <a:off x="0" y="0"/>
                          <a:ext cx="6108700" cy="45085"/>
                        </a:xfrm>
                        <a:prstGeom prst="rect">
                          <a:avLst/>
                        </a:prstGeom>
                        <a:solidFill>
                          <a:srgbClr val="20547A"/>
                        </a:solidFill>
                        <a:ln w="6350">
                          <a:noFill/>
                        </a:ln>
                      </wps:spPr>
                      <wps:txbx>
                        <w:txbxContent>
                          <w:p w14:paraId="4E5F818F" w14:textId="695DD47C" w:rsidR="0031667B" w:rsidRPr="00AF46A9" w:rsidRDefault="0031667B" w:rsidP="00BA254C">
                            <w:pPr>
                              <w:pStyle w:val="CISUoverskriftansgningsskema"/>
                              <w:rPr>
                                <w:sz w:val="60"/>
                                <w:szCs w:val="60"/>
                                <w:lang w:val="en-GB"/>
                              </w:rPr>
                            </w:pPr>
                            <w:r w:rsidRPr="00AF46A9">
                              <w:rPr>
                                <w:sz w:val="60"/>
                                <w:szCs w:val="60"/>
                                <w:lang w:val="en-GB"/>
                              </w:rPr>
                              <w:t xml:space="preserve">Development interventions </w:t>
                            </w:r>
                          </w:p>
                          <w:p w14:paraId="7D329E88" w14:textId="77777777" w:rsidR="0031667B" w:rsidRPr="00385574" w:rsidRDefault="0031667B" w:rsidP="00385574">
                            <w:pPr>
                              <w:pStyle w:val="NoSpacing"/>
                              <w:spacing w:line="276" w:lineRule="auto"/>
                              <w:jc w:val="both"/>
                              <w:rPr>
                                <w:b/>
                                <w:bCs/>
                                <w:color w:val="FFFFFF" w:themeColor="background1"/>
                                <w:sz w:val="24"/>
                                <w:szCs w:val="24"/>
                                <w:lang w:val="en-GB"/>
                              </w:rPr>
                            </w:pPr>
                            <w:bookmarkStart w:id="1" w:name="_Toc467680929"/>
                            <w:bookmarkStart w:id="2" w:name="_Toc469064064"/>
                            <w:r w:rsidRPr="00385574">
                              <w:rPr>
                                <w:b/>
                                <w:bCs/>
                                <w:color w:val="FFFFFF" w:themeColor="background1"/>
                                <w:sz w:val="24"/>
                                <w:szCs w:val="24"/>
                                <w:lang w:val="en-GB"/>
                              </w:rPr>
                              <w:t>To strengthen civil society organising to promote the fulfilment of rights and equal access to resources and participation and to bring about lasting improvements for poor, marginalised and vulnerable target groups.</w:t>
                            </w:r>
                          </w:p>
                          <w:p w14:paraId="7A110657" w14:textId="03C9B9AF" w:rsidR="0031667B" w:rsidRPr="00385574" w:rsidRDefault="0031667B" w:rsidP="00385574">
                            <w:pPr>
                              <w:pStyle w:val="NoSpacing"/>
                              <w:spacing w:line="276" w:lineRule="auto"/>
                              <w:jc w:val="both"/>
                              <w:rPr>
                                <w:b/>
                                <w:bCs/>
                                <w:color w:val="FFFFFF" w:themeColor="background1"/>
                                <w:sz w:val="24"/>
                                <w:szCs w:val="24"/>
                                <w:lang w:val="en-GB"/>
                              </w:rPr>
                            </w:pPr>
                            <w:r w:rsidRPr="00385574">
                              <w:rPr>
                                <w:b/>
                                <w:bCs/>
                                <w:color w:val="FFFFFF" w:themeColor="background1"/>
                                <w:sz w:val="24"/>
                                <w:szCs w:val="24"/>
                                <w:lang w:val="en-GB"/>
                              </w:rPr>
                              <w:t>To make partners reach out to, mobilise</w:t>
                            </w:r>
                            <w:r>
                              <w:rPr>
                                <w:b/>
                                <w:bCs/>
                                <w:color w:val="FFFFFF" w:themeColor="background1"/>
                                <w:sz w:val="24"/>
                                <w:szCs w:val="24"/>
                                <w:lang w:val="en-GB"/>
                              </w:rPr>
                              <w:t>,</w:t>
                            </w:r>
                            <w:r w:rsidRPr="00385574">
                              <w:rPr>
                                <w:b/>
                                <w:bCs/>
                                <w:color w:val="FFFFFF" w:themeColor="background1"/>
                                <w:sz w:val="24"/>
                                <w:szCs w:val="24"/>
                                <w:lang w:val="en-GB"/>
                              </w:rPr>
                              <w:t xml:space="preserve"> and cooperate with the wider society and other actors. This serves to expand partners’ access to resources and financing, while boosting the effect and sustainability of all their actions.</w:t>
                            </w:r>
                            <w:bookmarkEnd w:id="1"/>
                            <w:bookmarkEnd w:id="2"/>
                          </w:p>
                          <w:p w14:paraId="2E93F534" w14:textId="77777777" w:rsidR="0031667B" w:rsidRPr="0030578E" w:rsidRDefault="0031667B" w:rsidP="00460A0C">
                            <w:pPr>
                              <w:autoSpaceDE w:val="0"/>
                              <w:autoSpaceDN w:val="0"/>
                              <w:adjustRightInd w:val="0"/>
                              <w:jc w:val="both"/>
                              <w:rPr>
                                <w:b/>
                                <w:bCs/>
                                <w:color w:val="FFFFFF" w:themeColor="background1"/>
                                <w:lang w:val="en-GB"/>
                              </w:rPr>
                            </w:pPr>
                          </w:p>
                          <w:p w14:paraId="11FD06B5" w14:textId="77777777" w:rsidR="0031667B" w:rsidRPr="00AF46A9" w:rsidRDefault="0031667B" w:rsidP="00C135ED">
                            <w:pPr>
                              <w:pStyle w:val="NoSpacing"/>
                              <w:spacing w:after="120"/>
                              <w:rPr>
                                <w:rStyle w:val="Hyperlink"/>
                                <w:rFonts w:asciiTheme="majorHAnsi" w:hAnsiTheme="majorHAnsi" w:cs="Times New Roman (Body CS)"/>
                                <w:b/>
                                <w:bCs/>
                                <w:caps/>
                                <w:color w:val="FFFFFF" w:themeColor="background1"/>
                                <w:sz w:val="32"/>
                                <w:szCs w:val="32"/>
                                <w:u w:val="none"/>
                                <w:lang w:val="en-GB"/>
                              </w:rPr>
                            </w:pPr>
                            <w:r w:rsidRPr="00AF46A9">
                              <w:rPr>
                                <w:rFonts w:asciiTheme="majorHAnsi" w:hAnsiTheme="majorHAnsi" w:cs="Times New Roman (Body CS)"/>
                                <w:b/>
                                <w:bCs/>
                                <w:caps/>
                                <w:color w:val="FFFFFF" w:themeColor="background1"/>
                                <w:sz w:val="32"/>
                                <w:szCs w:val="32"/>
                                <w:lang w:val="en-GB"/>
                              </w:rPr>
                              <w:t xml:space="preserve">please note before writing the application: </w:t>
                            </w:r>
                          </w:p>
                          <w:p w14:paraId="32F7147D" w14:textId="441C36B0" w:rsidR="0031667B" w:rsidRPr="00BC7892" w:rsidRDefault="0031667B" w:rsidP="00407190">
                            <w:pPr>
                              <w:pStyle w:val="NoSpacing"/>
                              <w:numPr>
                                <w:ilvl w:val="0"/>
                                <w:numId w:val="5"/>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p>
                          <w:p w14:paraId="4BD9C4DE" w14:textId="77777777" w:rsidR="0031667B" w:rsidRPr="00BC7892" w:rsidRDefault="0031667B" w:rsidP="00407190">
                            <w:pPr>
                              <w:pStyle w:val="NoSpacing"/>
                              <w:numPr>
                                <w:ilvl w:val="0"/>
                                <w:numId w:val="5"/>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51455E8E" w14:textId="77777777" w:rsidR="0031667B" w:rsidRPr="009E1E73" w:rsidRDefault="0031667B" w:rsidP="00407190">
                            <w:pPr>
                              <w:pStyle w:val="NoSpacing"/>
                              <w:numPr>
                                <w:ilvl w:val="0"/>
                                <w:numId w:val="5"/>
                              </w:numPr>
                              <w:jc w:val="both"/>
                              <w:rPr>
                                <w:rStyle w:val="Hyperlink"/>
                                <w:rFonts w:cstheme="minorHAnsi"/>
                                <w:i/>
                                <w:color w:val="FFFFFF" w:themeColor="background1"/>
                                <w:sz w:val="20"/>
                                <w:szCs w:val="20"/>
                                <w:u w:val="none"/>
                                <w:lang w:val="en-GB"/>
                              </w:rPr>
                            </w:pPr>
                            <w:r w:rsidRPr="009E1E73">
                              <w:rPr>
                                <w:rFonts w:cstheme="minorHAnsi"/>
                                <w:i/>
                                <w:color w:val="FFFFFF" w:themeColor="background1"/>
                                <w:sz w:val="20"/>
                                <w:szCs w:val="20"/>
                                <w:lang w:val="en-GB"/>
                              </w:rPr>
                              <w:t xml:space="preserve">CONTEXT: Remember that the application will be assessed depending on whether the intervention will take place in a stable or fragile context. Section 2.4 in the Guidelines outlines how to analyse and describe how fragility is expressed in the context. You can also read more on CISUs website (in Danish) </w:t>
                            </w:r>
                            <w:hyperlink r:id="rId11" w:history="1">
                              <w:r w:rsidRPr="009E1E73">
                                <w:rPr>
                                  <w:rStyle w:val="Hyperlink"/>
                                  <w:rFonts w:cstheme="minorHAnsi"/>
                                  <w:b/>
                                  <w:bCs/>
                                  <w:i/>
                                  <w:sz w:val="20"/>
                                  <w:szCs w:val="20"/>
                                  <w:lang w:val="en-GB"/>
                                </w:rPr>
                                <w:t>www.cisu.dk/nexus</w:t>
                              </w:r>
                            </w:hyperlink>
                            <w:r w:rsidRPr="009E1E73">
                              <w:rPr>
                                <w:rStyle w:val="Hyperlink"/>
                                <w:rFonts w:ascii="Arial" w:hAnsi="Arial" w:cs="Arial"/>
                                <w:b/>
                                <w:bCs/>
                                <w:sz w:val="18"/>
                                <w:szCs w:val="18"/>
                                <w:lang w:val="en-GB"/>
                              </w:rPr>
                              <w:t xml:space="preserve"> </w:t>
                            </w:r>
                          </w:p>
                          <w:p w14:paraId="2E0043A9" w14:textId="61E8C3E0" w:rsidR="0031667B" w:rsidRPr="004A7D43" w:rsidRDefault="0031667B" w:rsidP="00407190">
                            <w:pPr>
                              <w:pStyle w:val="NoSpacing"/>
                              <w:numPr>
                                <w:ilvl w:val="0"/>
                                <w:numId w:val="5"/>
                              </w:numPr>
                              <w:jc w:val="both"/>
                              <w:rPr>
                                <w:rFonts w:cstheme="minorHAnsi"/>
                                <w:i/>
                                <w:color w:val="FFFFFF" w:themeColor="background1"/>
                                <w:sz w:val="20"/>
                                <w:szCs w:val="20"/>
                                <w:lang w:val="en-GB"/>
                              </w:rPr>
                            </w:pPr>
                            <w:r w:rsidRPr="009E1E73">
                              <w:rPr>
                                <w:rFonts w:cstheme="minorHAnsi"/>
                                <w:i/>
                                <w:color w:val="FFFFFF" w:themeColor="background1"/>
                                <w:sz w:val="20"/>
                                <w:szCs w:val="20"/>
                                <w:lang w:val="en-GB"/>
                              </w:rPr>
                              <w:t>THE SUSTAINABILITY MODEL: in the sustainability model in section 1.2.7 of the Guidelines you can find inspiration on how to describe your intervention and how to address climate- and environmental sustainability as well as social justice.</w:t>
                            </w:r>
                          </w:p>
                          <w:p w14:paraId="11D342C7" w14:textId="77777777" w:rsidR="0031667B" w:rsidRPr="00BC7892" w:rsidRDefault="0031667B" w:rsidP="00C135ED">
                            <w:pPr>
                              <w:pStyle w:val="NoSpacing"/>
                              <w:ind w:left="720"/>
                              <w:rPr>
                                <w:rFonts w:ascii="Arial" w:hAnsi="Arial" w:cs="Arial"/>
                                <w:i/>
                                <w:sz w:val="18"/>
                                <w:szCs w:val="18"/>
                                <w:lang w:val="en-GB"/>
                              </w:rPr>
                            </w:pPr>
                          </w:p>
                          <w:p w14:paraId="70B57773" w14:textId="77777777" w:rsidR="0031667B" w:rsidRPr="00AF46A9" w:rsidRDefault="0031667B" w:rsidP="00AF46A9">
                            <w:pPr>
                              <w:pStyle w:val="CISUbrdtekstbrevpapir"/>
                            </w:pPr>
                            <w:r w:rsidRPr="00AF46A9">
                              <w:t xml:space="preserve">GUIDANCE on submission of applications is available at </w:t>
                            </w:r>
                            <w:hyperlink r:id="rId12"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 French and Spanish.)</w:t>
                            </w:r>
                          </w:p>
                          <w:p w14:paraId="7CB46897" w14:textId="5A06B647" w:rsidR="0031667B" w:rsidRDefault="0031667B" w:rsidP="00AF46A9">
                            <w:pPr>
                              <w:pStyle w:val="CISUbrdtekstbrevpapir"/>
                            </w:pPr>
                          </w:p>
                          <w:p w14:paraId="757994C0" w14:textId="6959A202" w:rsidR="0031667B" w:rsidRPr="00AF46A9" w:rsidRDefault="0031667B" w:rsidP="00AF46A9">
                            <w:pPr>
                              <w:pStyle w:val="CISUbrdtekstbrevpapir"/>
                            </w:pPr>
                            <w:r w:rsidRPr="00AF46A9">
                              <w:rPr>
                                <w:rStyle w:val="Hyperlink"/>
                                <w:color w:val="FFFFFF" w:themeColor="background1"/>
                                <w:u w:val="none"/>
                              </w:rPr>
                              <w:t xml:space="preserve">NB: DELETE THIS GUIDE BOX WHEN YOU ARE READY TO SEND IN YOUR APPLICATION.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A5912" id="_x0000_t202" coordsize="21600,21600" o:spt="202" path="m,l,21600r21600,l21600,xe">
                <v:stroke joinstyle="miter"/>
                <v:path gradientshapeok="t" o:connecttype="rect"/>
              </v:shapetype>
              <v:shape id="Text Box 2" o:spid="_x0000_s1026" type="#_x0000_t202" style="position:absolute;margin-left:429.8pt;margin-top:88.9pt;width:481pt;height:3.5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" fillcolor="#20547a" stroked="f" strokeweight=".5pt">
                <v:textbox inset="8mm,8mm,8mm,8mm">
                  <w:txbxContent>
                    <w:p w14:paraId="4E5F818F" w14:textId="695DD47C" w:rsidR="0031667B" w:rsidRPr="00AF46A9" w:rsidRDefault="0031667B" w:rsidP="00BA254C">
                      <w:pPr>
                        <w:pStyle w:val="CISUoverskriftansgningsskema"/>
                        <w:rPr>
                          <w:sz w:val="60"/>
                          <w:szCs w:val="60"/>
                          <w:lang w:val="en-GB"/>
                        </w:rPr>
                      </w:pPr>
                      <w:r w:rsidRPr="00AF46A9">
                        <w:rPr>
                          <w:sz w:val="60"/>
                          <w:szCs w:val="60"/>
                          <w:lang w:val="en-GB"/>
                        </w:rPr>
                        <w:t xml:space="preserve">Development interventions </w:t>
                      </w:r>
                    </w:p>
                    <w:p w14:paraId="7D329E88" w14:textId="77777777" w:rsidR="0031667B" w:rsidRPr="00385574" w:rsidRDefault="0031667B" w:rsidP="00385574">
                      <w:pPr>
                        <w:pStyle w:val="NoSpacing"/>
                        <w:spacing w:line="276" w:lineRule="auto"/>
                        <w:jc w:val="both"/>
                        <w:rPr>
                          <w:b/>
                          <w:bCs/>
                          <w:color w:val="FFFFFF" w:themeColor="background1"/>
                          <w:sz w:val="24"/>
                          <w:szCs w:val="24"/>
                          <w:lang w:val="en-GB"/>
                        </w:rPr>
                      </w:pPr>
                      <w:bookmarkStart w:id="3" w:name="_Toc467680929"/>
                      <w:bookmarkStart w:id="4" w:name="_Toc469064064"/>
                      <w:r w:rsidRPr="00385574">
                        <w:rPr>
                          <w:b/>
                          <w:bCs/>
                          <w:color w:val="FFFFFF" w:themeColor="background1"/>
                          <w:sz w:val="24"/>
                          <w:szCs w:val="24"/>
                          <w:lang w:val="en-GB"/>
                        </w:rPr>
                        <w:t>To strengthen civil society organising to promote the fulfilment of rights and equal access to resources and participation and to bring about lasting improvements for poor, marginalised and vulnerable target groups.</w:t>
                      </w:r>
                    </w:p>
                    <w:p w14:paraId="7A110657" w14:textId="03C9B9AF" w:rsidR="0031667B" w:rsidRPr="00385574" w:rsidRDefault="0031667B" w:rsidP="00385574">
                      <w:pPr>
                        <w:pStyle w:val="NoSpacing"/>
                        <w:spacing w:line="276" w:lineRule="auto"/>
                        <w:jc w:val="both"/>
                        <w:rPr>
                          <w:b/>
                          <w:bCs/>
                          <w:color w:val="FFFFFF" w:themeColor="background1"/>
                          <w:sz w:val="24"/>
                          <w:szCs w:val="24"/>
                          <w:lang w:val="en-GB"/>
                        </w:rPr>
                      </w:pPr>
                      <w:r w:rsidRPr="00385574">
                        <w:rPr>
                          <w:b/>
                          <w:bCs/>
                          <w:color w:val="FFFFFF" w:themeColor="background1"/>
                          <w:sz w:val="24"/>
                          <w:szCs w:val="24"/>
                          <w:lang w:val="en-GB"/>
                        </w:rPr>
                        <w:t>To make partners reach out to, mobilise</w:t>
                      </w:r>
                      <w:r>
                        <w:rPr>
                          <w:b/>
                          <w:bCs/>
                          <w:color w:val="FFFFFF" w:themeColor="background1"/>
                          <w:sz w:val="24"/>
                          <w:szCs w:val="24"/>
                          <w:lang w:val="en-GB"/>
                        </w:rPr>
                        <w:t>,</w:t>
                      </w:r>
                      <w:r w:rsidRPr="00385574">
                        <w:rPr>
                          <w:b/>
                          <w:bCs/>
                          <w:color w:val="FFFFFF" w:themeColor="background1"/>
                          <w:sz w:val="24"/>
                          <w:szCs w:val="24"/>
                          <w:lang w:val="en-GB"/>
                        </w:rPr>
                        <w:t xml:space="preserve"> and cooperate with the wider society and other actors. This serves to expand partners’ access to resources and financing, while boosting the effect and sustainability of all their actions.</w:t>
                      </w:r>
                      <w:bookmarkEnd w:id="3"/>
                      <w:bookmarkEnd w:id="4"/>
                    </w:p>
                    <w:p w14:paraId="2E93F534" w14:textId="77777777" w:rsidR="0031667B" w:rsidRPr="0030578E" w:rsidRDefault="0031667B" w:rsidP="00460A0C">
                      <w:pPr>
                        <w:autoSpaceDE w:val="0"/>
                        <w:autoSpaceDN w:val="0"/>
                        <w:adjustRightInd w:val="0"/>
                        <w:jc w:val="both"/>
                        <w:rPr>
                          <w:b/>
                          <w:bCs/>
                          <w:color w:val="FFFFFF" w:themeColor="background1"/>
                          <w:lang w:val="en-GB"/>
                        </w:rPr>
                      </w:pPr>
                    </w:p>
                    <w:p w14:paraId="11FD06B5" w14:textId="77777777" w:rsidR="0031667B" w:rsidRPr="00AF46A9" w:rsidRDefault="0031667B" w:rsidP="00C135ED">
                      <w:pPr>
                        <w:pStyle w:val="NoSpacing"/>
                        <w:spacing w:after="120"/>
                        <w:rPr>
                          <w:rStyle w:val="Hyperlink"/>
                          <w:rFonts w:asciiTheme="majorHAnsi" w:hAnsiTheme="majorHAnsi" w:cs="Times New Roman (Body CS)"/>
                          <w:b/>
                          <w:bCs/>
                          <w:caps/>
                          <w:color w:val="FFFFFF" w:themeColor="background1"/>
                          <w:sz w:val="32"/>
                          <w:szCs w:val="32"/>
                          <w:u w:val="none"/>
                          <w:lang w:val="en-GB"/>
                        </w:rPr>
                      </w:pPr>
                      <w:r w:rsidRPr="00AF46A9">
                        <w:rPr>
                          <w:rFonts w:asciiTheme="majorHAnsi" w:hAnsiTheme="majorHAnsi" w:cs="Times New Roman (Body CS)"/>
                          <w:b/>
                          <w:bCs/>
                          <w:caps/>
                          <w:color w:val="FFFFFF" w:themeColor="background1"/>
                          <w:sz w:val="32"/>
                          <w:szCs w:val="32"/>
                          <w:lang w:val="en-GB"/>
                        </w:rPr>
                        <w:t xml:space="preserve">please note before writing the application: </w:t>
                      </w:r>
                    </w:p>
                    <w:p w14:paraId="32F7147D" w14:textId="441C36B0" w:rsidR="0031667B" w:rsidRPr="00BC7892" w:rsidRDefault="0031667B" w:rsidP="00407190">
                      <w:pPr>
                        <w:pStyle w:val="NoSpacing"/>
                        <w:numPr>
                          <w:ilvl w:val="0"/>
                          <w:numId w:val="5"/>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 xml:space="preserve">NUMBER OF PAGES: The application text must not take up more than </w:t>
                      </w:r>
                      <w:r>
                        <w:rPr>
                          <w:rFonts w:cstheme="minorHAnsi"/>
                          <w:i/>
                          <w:color w:val="FFFFFF" w:themeColor="background1"/>
                          <w:sz w:val="20"/>
                          <w:szCs w:val="20"/>
                          <w:lang w:val="en-GB"/>
                        </w:rPr>
                        <w:t>25</w:t>
                      </w:r>
                      <w:r w:rsidRPr="00BC7892">
                        <w:rPr>
                          <w:rFonts w:cstheme="minorHAnsi"/>
                          <w:i/>
                          <w:color w:val="FFFFFF" w:themeColor="background1"/>
                          <w:sz w:val="20"/>
                          <w:szCs w:val="20"/>
                          <w:lang w:val="en-GB"/>
                        </w:rPr>
                        <w:t xml:space="preserve"> pages (Calibri, font size 11, line spacing 1.0, margins: top 3 cm, bottom 3 cm, right 2 cm and left 2 cm). Applications exceeding this length will be rejected.</w:t>
                      </w:r>
                    </w:p>
                    <w:p w14:paraId="4BD9C4DE" w14:textId="77777777" w:rsidR="0031667B" w:rsidRPr="00BC7892" w:rsidRDefault="0031667B" w:rsidP="00407190">
                      <w:pPr>
                        <w:pStyle w:val="NoSpacing"/>
                        <w:numPr>
                          <w:ilvl w:val="0"/>
                          <w:numId w:val="5"/>
                        </w:numPr>
                        <w:jc w:val="both"/>
                        <w:rPr>
                          <w:rFonts w:cstheme="minorHAnsi"/>
                          <w:i/>
                          <w:color w:val="FFFFFF" w:themeColor="background1"/>
                          <w:sz w:val="20"/>
                          <w:szCs w:val="20"/>
                          <w:lang w:val="en-GB"/>
                        </w:rPr>
                      </w:pPr>
                      <w:r w:rsidRPr="00BC7892">
                        <w:rPr>
                          <w:rFonts w:cstheme="minorHAnsi"/>
                          <w:i/>
                          <w:color w:val="FFFFFF" w:themeColor="background1"/>
                          <w:sz w:val="20"/>
                          <w:szCs w:val="20"/>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51455E8E" w14:textId="77777777" w:rsidR="0031667B" w:rsidRPr="009E1E73" w:rsidRDefault="0031667B" w:rsidP="00407190">
                      <w:pPr>
                        <w:pStyle w:val="NoSpacing"/>
                        <w:numPr>
                          <w:ilvl w:val="0"/>
                          <w:numId w:val="5"/>
                        </w:numPr>
                        <w:jc w:val="both"/>
                        <w:rPr>
                          <w:rStyle w:val="Hyperlink"/>
                          <w:rFonts w:cstheme="minorHAnsi"/>
                          <w:i/>
                          <w:color w:val="FFFFFF" w:themeColor="background1"/>
                          <w:sz w:val="20"/>
                          <w:szCs w:val="20"/>
                          <w:u w:val="none"/>
                          <w:lang w:val="en-GB"/>
                        </w:rPr>
                      </w:pPr>
                      <w:r w:rsidRPr="009E1E73">
                        <w:rPr>
                          <w:rFonts w:cstheme="minorHAnsi"/>
                          <w:i/>
                          <w:color w:val="FFFFFF" w:themeColor="background1"/>
                          <w:sz w:val="20"/>
                          <w:szCs w:val="20"/>
                          <w:lang w:val="en-GB"/>
                        </w:rPr>
                        <w:t xml:space="preserve">CONTEXT: Remember that the application will be assessed depending on whether the intervention will take place in a stable or fragile context. Section 2.4 in the Guidelines outlines how to analyse and describe how fragility is expressed in the context. You can also read more on CISUs website (in Danish) </w:t>
                      </w:r>
                      <w:hyperlink r:id="rId13" w:history="1">
                        <w:r w:rsidRPr="009E1E73">
                          <w:rPr>
                            <w:rStyle w:val="Hyperlink"/>
                            <w:rFonts w:cstheme="minorHAnsi"/>
                            <w:b/>
                            <w:bCs/>
                            <w:i/>
                            <w:sz w:val="20"/>
                            <w:szCs w:val="20"/>
                            <w:lang w:val="en-GB"/>
                          </w:rPr>
                          <w:t>www.cisu.dk/nexus</w:t>
                        </w:r>
                      </w:hyperlink>
                      <w:r w:rsidRPr="009E1E73">
                        <w:rPr>
                          <w:rStyle w:val="Hyperlink"/>
                          <w:rFonts w:ascii="Arial" w:hAnsi="Arial" w:cs="Arial"/>
                          <w:b/>
                          <w:bCs/>
                          <w:sz w:val="18"/>
                          <w:szCs w:val="18"/>
                          <w:lang w:val="en-GB"/>
                        </w:rPr>
                        <w:t xml:space="preserve"> </w:t>
                      </w:r>
                    </w:p>
                    <w:p w14:paraId="2E0043A9" w14:textId="61E8C3E0" w:rsidR="0031667B" w:rsidRPr="004A7D43" w:rsidRDefault="0031667B" w:rsidP="00407190">
                      <w:pPr>
                        <w:pStyle w:val="NoSpacing"/>
                        <w:numPr>
                          <w:ilvl w:val="0"/>
                          <w:numId w:val="5"/>
                        </w:numPr>
                        <w:jc w:val="both"/>
                        <w:rPr>
                          <w:rFonts w:cstheme="minorHAnsi"/>
                          <w:i/>
                          <w:color w:val="FFFFFF" w:themeColor="background1"/>
                          <w:sz w:val="20"/>
                          <w:szCs w:val="20"/>
                          <w:lang w:val="en-GB"/>
                        </w:rPr>
                      </w:pPr>
                      <w:r w:rsidRPr="009E1E73">
                        <w:rPr>
                          <w:rFonts w:cstheme="minorHAnsi"/>
                          <w:i/>
                          <w:color w:val="FFFFFF" w:themeColor="background1"/>
                          <w:sz w:val="20"/>
                          <w:szCs w:val="20"/>
                          <w:lang w:val="en-GB"/>
                        </w:rPr>
                        <w:t>THE SUSTAINABILITY MODEL: in the sustainability model in section 1.2.7 of the Guidelines you can find inspiration on how to describe your intervention and how to address climate- and environmental sustainability as well as social justice.</w:t>
                      </w:r>
                    </w:p>
                    <w:p w14:paraId="11D342C7" w14:textId="77777777" w:rsidR="0031667B" w:rsidRPr="00BC7892" w:rsidRDefault="0031667B" w:rsidP="00C135ED">
                      <w:pPr>
                        <w:pStyle w:val="NoSpacing"/>
                        <w:ind w:left="720"/>
                        <w:rPr>
                          <w:rFonts w:ascii="Arial" w:hAnsi="Arial" w:cs="Arial"/>
                          <w:i/>
                          <w:sz w:val="18"/>
                          <w:szCs w:val="18"/>
                          <w:lang w:val="en-GB"/>
                        </w:rPr>
                      </w:pPr>
                    </w:p>
                    <w:p w14:paraId="70B57773" w14:textId="77777777" w:rsidR="0031667B" w:rsidRPr="00AF46A9" w:rsidRDefault="0031667B" w:rsidP="00AF46A9">
                      <w:pPr>
                        <w:pStyle w:val="CISUbrdtekstbrevpapir"/>
                      </w:pPr>
                      <w:r w:rsidRPr="00AF46A9">
                        <w:t xml:space="preserve">GUIDANCE on submission of applications is available at </w:t>
                      </w:r>
                      <w:hyperlink r:id="rId14" w:history="1">
                        <w:r w:rsidRPr="00AF46A9">
                          <w:rPr>
                            <w:rStyle w:val="Hyperlink"/>
                            <w:rFonts w:asciiTheme="majorHAnsi" w:hAnsiTheme="majorHAnsi" w:cstheme="majorHAnsi"/>
                            <w:b/>
                            <w:bCs/>
                          </w:rPr>
                          <w:t>www.cisu.dk/skemaer</w:t>
                        </w:r>
                      </w:hyperlink>
                      <w:r w:rsidRPr="00AF46A9">
                        <w:t xml:space="preserve"> (the website is presented in Danish, but many documents are also available in English, French and Spanish.)</w:t>
                      </w:r>
                    </w:p>
                    <w:p w14:paraId="7CB46897" w14:textId="5A06B647" w:rsidR="0031667B" w:rsidRDefault="0031667B" w:rsidP="00AF46A9">
                      <w:pPr>
                        <w:pStyle w:val="CISUbrdtekstbrevpapir"/>
                      </w:pPr>
                    </w:p>
                    <w:p w14:paraId="757994C0" w14:textId="6959A202" w:rsidR="0031667B" w:rsidRPr="00AF46A9" w:rsidRDefault="0031667B" w:rsidP="00AF46A9">
                      <w:pPr>
                        <w:pStyle w:val="CISUbrdtekstbrevpapir"/>
                      </w:pPr>
                      <w:r w:rsidRPr="00AF46A9">
                        <w:rPr>
                          <w:rStyle w:val="Hyperlink"/>
                          <w:color w:val="FFFFFF" w:themeColor="background1"/>
                          <w:u w:val="none"/>
                        </w:rPr>
                        <w:t xml:space="preserve">NB: DELETE THIS GUIDE BOX WHEN YOU ARE READY TO SEND IN YOUR APPLICATION. </w:t>
                      </w:r>
                    </w:p>
                  </w:txbxContent>
                </v:textbox>
                <w10:wrap type="square" anchorx="margin" anchory="page"/>
              </v:shape>
            </w:pict>
          </mc:Fallback>
        </mc:AlternateContent>
      </w:r>
    </w:p>
    <w:p w14:paraId="5A39C50D" w14:textId="7288D86C" w:rsidR="00A309B6" w:rsidRPr="00B72BD5" w:rsidRDefault="00A309B6" w:rsidP="00407190">
      <w:pPr>
        <w:pStyle w:val="Heading1"/>
        <w:numPr>
          <w:ilvl w:val="0"/>
          <w:numId w:val="7"/>
        </w:numPr>
      </w:pPr>
      <w:bookmarkStart w:id="5" w:name="_Toc34813944"/>
      <w:bookmarkStart w:id="6" w:name="_Toc113951202"/>
      <w:r w:rsidRPr="00B72BD5">
        <w:t>Objective and relevance</w:t>
      </w:r>
      <w:bookmarkEnd w:id="5"/>
      <w:r w:rsidR="008C1F3F" w:rsidRPr="00B72BD5">
        <w:t xml:space="preserve"> (the world around us)</w:t>
      </w:r>
      <w:bookmarkEnd w:id="6"/>
    </w:p>
    <w:p w14:paraId="75497443" w14:textId="77777777" w:rsidR="00A309B6" w:rsidRPr="00B72BD5" w:rsidRDefault="00A309B6" w:rsidP="00334B32">
      <w:pPr>
        <w:pStyle w:val="Heading2"/>
      </w:pPr>
      <w:bookmarkStart w:id="7" w:name="_Toc34813945"/>
      <w:bookmarkStart w:id="8" w:name="_Toc113951203"/>
      <w:r w:rsidRPr="00B72BD5">
        <w:t>Intervention objective and rationale</w:t>
      </w:r>
      <w:bookmarkEnd w:id="7"/>
      <w:bookmarkEnd w:id="8"/>
    </w:p>
    <w:p w14:paraId="74272E73" w14:textId="39FB116C" w:rsidR="00604B08" w:rsidRPr="00FB0219" w:rsidRDefault="00604B08" w:rsidP="00604B08">
      <w:pPr>
        <w:rPr>
          <w:rFonts w:eastAsia="Calibri" w:cs="Arial"/>
          <w:i/>
          <w:iCs/>
          <w:sz w:val="22"/>
          <w:szCs w:val="22"/>
          <w:lang w:val="en-ZA"/>
        </w:rPr>
      </w:pPr>
      <w:r w:rsidRPr="00285670">
        <w:rPr>
          <w:rFonts w:eastAsia="Calibri" w:cs="Arial"/>
          <w:i/>
          <w:iCs/>
          <w:sz w:val="22"/>
          <w:szCs w:val="22"/>
          <w:lang w:val="en-ZA"/>
        </w:rPr>
        <w:t xml:space="preserve">The core focus of </w:t>
      </w:r>
      <w:r>
        <w:rPr>
          <w:rFonts w:eastAsia="Calibri" w:cs="Arial"/>
          <w:i/>
          <w:iCs/>
          <w:sz w:val="22"/>
          <w:szCs w:val="22"/>
          <w:lang w:val="en-ZA"/>
        </w:rPr>
        <w:t>this</w:t>
      </w:r>
      <w:r w:rsidRPr="00285670">
        <w:rPr>
          <w:rFonts w:eastAsia="Calibri" w:cs="Arial"/>
          <w:i/>
          <w:iCs/>
          <w:sz w:val="22"/>
          <w:szCs w:val="22"/>
          <w:lang w:val="en-ZA"/>
        </w:rPr>
        <w:t xml:space="preserve"> intervention will be on catalysing community level change across 5 different geographical locations working with 5 established PV partner organisations representing or supporting young LGBT+ people, and adolescent girls and young women (AGYW).</w:t>
      </w:r>
      <w:r>
        <w:rPr>
          <w:rFonts w:eastAsia="Calibri" w:cs="Arial"/>
          <w:sz w:val="22"/>
          <w:szCs w:val="22"/>
          <w:lang w:val="en-ZA"/>
        </w:rPr>
        <w:t xml:space="preserve"> </w:t>
      </w:r>
      <w:r w:rsidRPr="00FB0219">
        <w:rPr>
          <w:rFonts w:eastAsia="Calibri" w:cs="Arial"/>
          <w:i/>
          <w:iCs/>
          <w:sz w:val="22"/>
          <w:szCs w:val="22"/>
          <w:lang w:val="en-ZA"/>
        </w:rPr>
        <w:t xml:space="preserve">The project will simultaneously </w:t>
      </w:r>
      <w:r>
        <w:rPr>
          <w:rFonts w:eastAsia="Calibri" w:cs="Arial"/>
          <w:i/>
          <w:iCs/>
          <w:sz w:val="22"/>
          <w:szCs w:val="22"/>
          <w:lang w:val="en-ZA"/>
        </w:rPr>
        <w:t xml:space="preserve">1) </w:t>
      </w:r>
      <w:r w:rsidRPr="00FB0219">
        <w:rPr>
          <w:rFonts w:eastAsia="Calibri" w:cs="Arial"/>
          <w:i/>
          <w:iCs/>
          <w:sz w:val="22"/>
          <w:szCs w:val="22"/>
          <w:lang w:val="en-ZA"/>
        </w:rPr>
        <w:t>enhance the capacity of these partner organisations to mobilise and support their members</w:t>
      </w:r>
      <w:r>
        <w:rPr>
          <w:rFonts w:eastAsia="Calibri" w:cs="Arial"/>
          <w:i/>
          <w:iCs/>
          <w:sz w:val="22"/>
          <w:szCs w:val="22"/>
          <w:lang w:val="en-ZA"/>
        </w:rPr>
        <w:t>, 2) build/enhance the social movements around these organisations</w:t>
      </w:r>
      <w:r w:rsidRPr="00FB0219">
        <w:rPr>
          <w:rFonts w:eastAsia="Calibri" w:cs="Arial"/>
          <w:i/>
          <w:iCs/>
          <w:sz w:val="22"/>
          <w:szCs w:val="22"/>
          <w:lang w:val="en-ZA"/>
        </w:rPr>
        <w:t xml:space="preserve"> and </w:t>
      </w:r>
      <w:r>
        <w:rPr>
          <w:rFonts w:eastAsia="Calibri" w:cs="Arial"/>
          <w:i/>
          <w:iCs/>
          <w:sz w:val="22"/>
          <w:szCs w:val="22"/>
          <w:lang w:val="en-ZA"/>
        </w:rPr>
        <w:t xml:space="preserve">3) </w:t>
      </w:r>
      <w:r w:rsidRPr="00FB0219">
        <w:rPr>
          <w:rFonts w:eastAsia="Calibri" w:cs="Arial"/>
          <w:i/>
          <w:iCs/>
          <w:sz w:val="22"/>
          <w:szCs w:val="22"/>
          <w:lang w:val="en-ZA"/>
        </w:rPr>
        <w:t>support the organisations to carry out a range of local community level advocacy work</w:t>
      </w:r>
      <w:r w:rsidR="000E361D">
        <w:rPr>
          <w:rFonts w:eastAsia="Calibri" w:cs="Arial"/>
          <w:i/>
          <w:iCs/>
          <w:sz w:val="22"/>
          <w:szCs w:val="22"/>
          <w:lang w:val="en-ZA"/>
        </w:rPr>
        <w:t>.</w:t>
      </w:r>
    </w:p>
    <w:p w14:paraId="1DFE27CD" w14:textId="30B5D54F" w:rsidR="00A309B6" w:rsidRPr="00B72BD5" w:rsidRDefault="00A309B6" w:rsidP="000E361D">
      <w:pPr>
        <w:ind w:firstLine="357"/>
        <w:rPr>
          <w:rFonts w:eastAsia="Calibri" w:cs="Arial"/>
          <w:sz w:val="22"/>
          <w:szCs w:val="22"/>
          <w:lang w:val="en-ZA"/>
        </w:rPr>
      </w:pPr>
      <w:r w:rsidRPr="00B72BD5">
        <w:rPr>
          <w:rFonts w:eastAsia="Calibri" w:cs="Arial"/>
          <w:sz w:val="22"/>
          <w:szCs w:val="22"/>
          <w:lang w:val="en-ZA"/>
        </w:rPr>
        <w:t>This intervention is about improving the life opportunities of young LGBT+</w:t>
      </w:r>
      <w:r w:rsidR="005B7195" w:rsidRPr="00B72BD5">
        <w:rPr>
          <w:rFonts w:eastAsia="Calibri" w:cs="Arial"/>
          <w:sz w:val="22"/>
          <w:szCs w:val="22"/>
          <w:lang w:val="en-ZA"/>
        </w:rPr>
        <w:t xml:space="preserve"> </w:t>
      </w:r>
      <w:r w:rsidRPr="00B72BD5">
        <w:rPr>
          <w:rFonts w:eastAsia="Calibri" w:cs="Arial"/>
          <w:sz w:val="22"/>
          <w:szCs w:val="22"/>
          <w:lang w:val="en-ZA"/>
        </w:rPr>
        <w:t>people, and adolescent girls and young women (AGYW) by strengthening movements for change and facilitating positive shifts in community and state responses to these vulnerable and marginalised groups. 15-24-year-olds are the focus.</w:t>
      </w:r>
    </w:p>
    <w:p w14:paraId="3A49A7E2"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Young people – though a recent focus of popular campaigns and political rhetoric – remain relatively marginal in Namibia. A great many are unemployed, </w:t>
      </w:r>
      <w:proofErr w:type="gramStart"/>
      <w:r w:rsidRPr="00B72BD5">
        <w:rPr>
          <w:rFonts w:eastAsia="Calibri" w:cs="Arial"/>
          <w:sz w:val="22"/>
          <w:szCs w:val="22"/>
          <w:lang w:val="en-ZA"/>
        </w:rPr>
        <w:t>poor</w:t>
      </w:r>
      <w:proofErr w:type="gramEnd"/>
      <w:r w:rsidRPr="00B72BD5">
        <w:rPr>
          <w:rFonts w:eastAsia="Calibri" w:cs="Arial"/>
          <w:sz w:val="22"/>
          <w:szCs w:val="22"/>
          <w:lang w:val="en-ZA"/>
        </w:rPr>
        <w:t xml:space="preserve"> and voiceless, and the most marginalised are subject to violence, abuse and social exclusion – conditions that limit Namibia’s future development, and mitigate against addressing the deep, structural inequalities that characterise the society.</w:t>
      </w:r>
    </w:p>
    <w:p w14:paraId="36BA5CB9" w14:textId="306C321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While </w:t>
      </w:r>
      <w:r w:rsidR="0031667B" w:rsidRPr="00B72BD5">
        <w:rPr>
          <w:rFonts w:eastAsia="Calibri" w:cs="Arial"/>
          <w:sz w:val="22"/>
          <w:szCs w:val="22"/>
          <w:lang w:val="en-ZA"/>
        </w:rPr>
        <w:t xml:space="preserve">also </w:t>
      </w:r>
      <w:r w:rsidRPr="00B72BD5">
        <w:rPr>
          <w:rFonts w:eastAsia="Calibri" w:cs="Arial"/>
          <w:sz w:val="22"/>
          <w:szCs w:val="22"/>
          <w:lang w:val="en-ZA"/>
        </w:rPr>
        <w:t>young</w:t>
      </w:r>
      <w:r w:rsidR="00352B3A">
        <w:rPr>
          <w:rFonts w:eastAsia="Calibri" w:cs="Arial"/>
          <w:sz w:val="22"/>
          <w:szCs w:val="22"/>
          <w:lang w:val="en-ZA"/>
        </w:rPr>
        <w:t xml:space="preserve"> heterosexual</w:t>
      </w:r>
      <w:r w:rsidRPr="00B72BD5">
        <w:rPr>
          <w:rFonts w:eastAsia="Calibri" w:cs="Arial"/>
          <w:sz w:val="22"/>
          <w:szCs w:val="22"/>
          <w:lang w:val="en-ZA"/>
        </w:rPr>
        <w:t xml:space="preserve"> </w:t>
      </w:r>
      <w:r w:rsidR="0031667B" w:rsidRPr="00B72BD5">
        <w:rPr>
          <w:rFonts w:eastAsia="Calibri" w:cs="Arial"/>
          <w:sz w:val="22"/>
          <w:szCs w:val="22"/>
          <w:lang w:val="en-ZA"/>
        </w:rPr>
        <w:t xml:space="preserve">men </w:t>
      </w:r>
      <w:r w:rsidRPr="00B72BD5">
        <w:rPr>
          <w:rFonts w:eastAsia="Calibri" w:cs="Arial"/>
          <w:sz w:val="22"/>
          <w:szCs w:val="22"/>
          <w:lang w:val="en-ZA"/>
        </w:rPr>
        <w:t xml:space="preserve">in Namibia face a wide range of developmental, social, and practical problems, LGBT+ young people and girls and young women face especially destructive forms of social, </w:t>
      </w:r>
      <w:proofErr w:type="gramStart"/>
      <w:r w:rsidRPr="00B72BD5">
        <w:rPr>
          <w:rFonts w:eastAsia="Calibri" w:cs="Arial"/>
          <w:sz w:val="22"/>
          <w:szCs w:val="22"/>
          <w:lang w:val="en-ZA"/>
        </w:rPr>
        <w:t>gendered</w:t>
      </w:r>
      <w:proofErr w:type="gramEnd"/>
      <w:r w:rsidRPr="00B72BD5">
        <w:rPr>
          <w:rFonts w:eastAsia="Calibri" w:cs="Arial"/>
          <w:sz w:val="22"/>
          <w:szCs w:val="22"/>
          <w:lang w:val="en-ZA"/>
        </w:rPr>
        <w:t xml:space="preserve"> and economic violence that increase their vulnerability, and exclude them from some aspects of community life, and/or from meaningful social, political, and economic participation. </w:t>
      </w:r>
    </w:p>
    <w:p w14:paraId="2683F3F5" w14:textId="77777777" w:rsidR="00A309B6" w:rsidRPr="00B72BD5" w:rsidRDefault="00A309B6" w:rsidP="00334B32">
      <w:pPr>
        <w:ind w:firstLine="357"/>
        <w:rPr>
          <w:rFonts w:eastAsia="Calibri" w:cs="Arial"/>
          <w:sz w:val="22"/>
          <w:szCs w:val="22"/>
          <w:lang w:val="en-ZA"/>
        </w:rPr>
      </w:pPr>
      <w:r w:rsidRPr="00B72BD5">
        <w:rPr>
          <w:rFonts w:eastAsia="Calibri" w:cs="Arial"/>
          <w:b/>
          <w:sz w:val="22"/>
          <w:szCs w:val="22"/>
          <w:lang w:val="en-ZA"/>
        </w:rPr>
        <w:t xml:space="preserve">LGBT+ young people: </w:t>
      </w:r>
      <w:r w:rsidRPr="00B72BD5">
        <w:rPr>
          <w:rFonts w:eastAsia="Calibri" w:cs="Arial"/>
          <w:sz w:val="22"/>
          <w:szCs w:val="22"/>
          <w:lang w:val="en-ZA"/>
        </w:rPr>
        <w:t>A recent situational analysis explored the experience of LGBT+ youth aged 18 to 24. It revealed alarming levels of sexual violence, other forms of violence, expulsion from the home, bullying at school (sometimes by teachers), terror of being outed and shunned by family, early school-leaving, suicidal ideation, self-destructive coping mechanisms (</w:t>
      </w:r>
      <w:proofErr w:type="gramStart"/>
      <w:r w:rsidRPr="00B72BD5">
        <w:rPr>
          <w:rFonts w:eastAsia="Calibri" w:cs="Arial"/>
          <w:sz w:val="22"/>
          <w:szCs w:val="22"/>
          <w:lang w:val="en-ZA"/>
        </w:rPr>
        <w:t>e.g.</w:t>
      </w:r>
      <w:proofErr w:type="gramEnd"/>
      <w:r w:rsidRPr="00B72BD5">
        <w:rPr>
          <w:rFonts w:eastAsia="Calibri" w:cs="Arial"/>
          <w:sz w:val="22"/>
          <w:szCs w:val="22"/>
          <w:lang w:val="en-ZA"/>
        </w:rPr>
        <w:t xml:space="preserve"> excessive alcohol or drug use), and many instances of young people turning to sex work for economic survival. Stories of isolation, fear, </w:t>
      </w:r>
      <w:proofErr w:type="gramStart"/>
      <w:r w:rsidRPr="00B72BD5">
        <w:rPr>
          <w:rFonts w:eastAsia="Calibri" w:cs="Arial"/>
          <w:sz w:val="22"/>
          <w:szCs w:val="22"/>
          <w:lang w:val="en-ZA"/>
        </w:rPr>
        <w:t>rejection</w:t>
      </w:r>
      <w:proofErr w:type="gramEnd"/>
      <w:r w:rsidRPr="00B72BD5">
        <w:rPr>
          <w:rFonts w:eastAsia="Calibri" w:cs="Arial"/>
          <w:sz w:val="22"/>
          <w:szCs w:val="22"/>
          <w:lang w:val="en-ZA"/>
        </w:rPr>
        <w:t xml:space="preserve"> and loneliness were the norm. </w:t>
      </w:r>
    </w:p>
    <w:p w14:paraId="2F32D42C"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Globally, LGBT+ young people continue to be disproportionately affected by HIV.</w:t>
      </w:r>
      <w:r w:rsidRPr="00B72BD5">
        <w:rPr>
          <w:rFonts w:eastAsia="Calibri" w:cs="Arial"/>
          <w:sz w:val="22"/>
          <w:szCs w:val="22"/>
          <w:vertAlign w:val="superscript"/>
          <w:lang w:val="en-ZA"/>
        </w:rPr>
        <w:footnoteReference w:id="1"/>
      </w:r>
      <w:r w:rsidRPr="00B72BD5">
        <w:rPr>
          <w:rFonts w:eastAsia="Calibri" w:cs="Arial"/>
          <w:sz w:val="22"/>
          <w:szCs w:val="22"/>
          <w:lang w:val="en-ZA"/>
        </w:rPr>
        <w:t xml:space="preserve"> This is also true in Namibia where the situation is exacerbated by a discriminatory legal environment, the phenomenon of corrective rape, inadequate education about HIV-prevention in non-heterosexual relationships, transactional sex, and multiple and concurrent partnerships.</w:t>
      </w:r>
      <w:r w:rsidRPr="00B72BD5">
        <w:rPr>
          <w:rFonts w:eastAsia="Calibri" w:cs="Arial"/>
          <w:sz w:val="22"/>
          <w:szCs w:val="22"/>
          <w:vertAlign w:val="superscript"/>
          <w:lang w:val="en-ZA"/>
        </w:rPr>
        <w:footnoteReference w:id="2"/>
      </w:r>
      <w:r w:rsidRPr="00B72BD5">
        <w:rPr>
          <w:rFonts w:eastAsia="Calibri" w:cs="Arial"/>
          <w:sz w:val="22"/>
          <w:szCs w:val="22"/>
          <w:lang w:val="en-ZA"/>
        </w:rPr>
        <w:t xml:space="preserve"> </w:t>
      </w:r>
    </w:p>
    <w:p w14:paraId="4C02717A"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Low levels of literacy on sexual orientation and gender identity (SOGIE), Human Rights and the law were also evident among LGBT+ youth. </w:t>
      </w:r>
    </w:p>
    <w:p w14:paraId="14C838D4" w14:textId="77777777" w:rsidR="00A309B6" w:rsidRPr="00B72BD5" w:rsidRDefault="00A309B6" w:rsidP="00334B32">
      <w:pPr>
        <w:ind w:firstLine="357"/>
        <w:rPr>
          <w:rFonts w:eastAsia="Calibri" w:cs="Arial"/>
          <w:sz w:val="22"/>
          <w:szCs w:val="22"/>
          <w:lang w:val="en-ZA"/>
        </w:rPr>
      </w:pPr>
      <w:r w:rsidRPr="00B72BD5">
        <w:rPr>
          <w:rFonts w:eastAsia="Calibri" w:cs="Arial"/>
          <w:b/>
          <w:sz w:val="22"/>
          <w:szCs w:val="22"/>
          <w:lang w:val="en-ZA"/>
        </w:rPr>
        <w:lastRenderedPageBreak/>
        <w:t xml:space="preserve">Adolescent girls and young women </w:t>
      </w:r>
      <w:r w:rsidRPr="00B72BD5">
        <w:rPr>
          <w:rFonts w:eastAsia="Calibri" w:cs="Arial"/>
          <w:sz w:val="22"/>
          <w:szCs w:val="22"/>
          <w:lang w:val="en-ZA"/>
        </w:rPr>
        <w:t>are vulnerable and often voiceless too – though perhaps less obviously marginalised because they are a much larger and more visible group. Positive Vibes’ work with AGYW within a Global Fund project confirms high levels of teenage pregnancy, common experiences of gender-based violence (1 in 4 young women reports having experienced GBV</w:t>
      </w:r>
      <w:r w:rsidRPr="00B72BD5">
        <w:rPr>
          <w:rFonts w:eastAsia="Calibri" w:cs="Arial"/>
          <w:sz w:val="22"/>
          <w:szCs w:val="22"/>
          <w:vertAlign w:val="superscript"/>
          <w:lang w:val="en-ZA"/>
        </w:rPr>
        <w:footnoteReference w:id="3"/>
      </w:r>
      <w:r w:rsidRPr="00B72BD5">
        <w:rPr>
          <w:rFonts w:eastAsia="Calibri" w:cs="Arial"/>
          <w:sz w:val="22"/>
          <w:szCs w:val="22"/>
          <w:lang w:val="en-ZA"/>
        </w:rPr>
        <w:t>) and high rates of transactional sex. They also have a significantly higher prevalence of HIV: 5,4% compared to 2,5% in boys in the 15-24 age group.</w:t>
      </w:r>
      <w:r w:rsidRPr="00B72BD5">
        <w:rPr>
          <w:rFonts w:eastAsia="Calibri" w:cs="Arial"/>
          <w:sz w:val="22"/>
          <w:szCs w:val="22"/>
          <w:vertAlign w:val="superscript"/>
          <w:lang w:val="en-ZA"/>
        </w:rPr>
        <w:footnoteReference w:id="4"/>
      </w:r>
    </w:p>
    <w:p w14:paraId="6038D8E2" w14:textId="77777777" w:rsidR="00A309B6" w:rsidRPr="00B72BD5" w:rsidRDefault="00A309B6" w:rsidP="00334B32">
      <w:pPr>
        <w:ind w:firstLine="357"/>
        <w:rPr>
          <w:rFonts w:eastAsia="Calibri" w:cs="Arial"/>
          <w:sz w:val="22"/>
          <w:szCs w:val="22"/>
          <w:lang w:val="en-ZA"/>
        </w:rPr>
      </w:pPr>
      <w:r w:rsidRPr="00B72BD5">
        <w:rPr>
          <w:rFonts w:eastAsia="Calibri" w:cs="Arial"/>
          <w:sz w:val="22"/>
          <w:szCs w:val="22"/>
          <w:lang w:val="en-ZA"/>
        </w:rPr>
        <w:t xml:space="preserve">We will unpack the challenges facing these primary target groups in more depth in Section 3. In general, however, their experiences of exclusion, violence and inequality are rooted in the social, economic, and historical context of post-colonial African patriarchy, heteronormativity, and a common fear and rejection of dangerous or unspeakable difference (otherness). All of which finds expression in common prejudices at community-level, as well as in the policy, </w:t>
      </w:r>
      <w:proofErr w:type="gramStart"/>
      <w:r w:rsidRPr="00B72BD5">
        <w:rPr>
          <w:rFonts w:eastAsia="Calibri" w:cs="Arial"/>
          <w:sz w:val="22"/>
          <w:szCs w:val="22"/>
          <w:lang w:val="en-ZA"/>
        </w:rPr>
        <w:t>laws</w:t>
      </w:r>
      <w:proofErr w:type="gramEnd"/>
      <w:r w:rsidRPr="00B72BD5">
        <w:rPr>
          <w:rFonts w:eastAsia="Calibri" w:cs="Arial"/>
          <w:sz w:val="22"/>
          <w:szCs w:val="22"/>
          <w:lang w:val="en-ZA"/>
        </w:rPr>
        <w:t xml:space="preserve"> and practices of the state. Of course, these larger, pervasive dynamics (patriarchy, etc.) are not easy to influence directly; to begin to shift them requires that we spark change in community systems and the structures which surround and sustain them. This is a long-term goal to which we expect this intervention will contribute. </w:t>
      </w:r>
    </w:p>
    <w:p w14:paraId="18163016" w14:textId="6AEF350D" w:rsidR="00FB65B0" w:rsidRPr="00B72BD5" w:rsidRDefault="00FB65B0" w:rsidP="00334B32">
      <w:pPr>
        <w:ind w:firstLine="357"/>
        <w:rPr>
          <w:rFonts w:eastAsia="Calibri" w:cs="Arial"/>
          <w:sz w:val="22"/>
          <w:szCs w:val="22"/>
          <w:lang w:val="en-ZA"/>
        </w:rPr>
      </w:pPr>
    </w:p>
    <w:p w14:paraId="49A1CB23" w14:textId="0590D35D" w:rsidR="00A43AE7" w:rsidRPr="00B72BD5" w:rsidRDefault="00A43AE7" w:rsidP="000D3D56">
      <w:pPr>
        <w:pStyle w:val="Heading3"/>
        <w:rPr>
          <w:lang w:val="en-ZA"/>
        </w:rPr>
      </w:pPr>
      <w:bookmarkStart w:id="9" w:name="_Toc113951204"/>
      <w:r w:rsidRPr="00B72BD5">
        <w:rPr>
          <w:lang w:val="en-ZA"/>
        </w:rPr>
        <w:t xml:space="preserve">Critical </w:t>
      </w:r>
      <w:r w:rsidR="000D3D56" w:rsidRPr="00B72BD5">
        <w:rPr>
          <w:lang w:val="en-ZA"/>
        </w:rPr>
        <w:t>Gaps</w:t>
      </w:r>
      <w:r w:rsidRPr="00B72BD5">
        <w:rPr>
          <w:lang w:val="en-ZA"/>
        </w:rPr>
        <w:t xml:space="preserve"> </w:t>
      </w:r>
      <w:r w:rsidR="000D3D56" w:rsidRPr="00B72BD5">
        <w:rPr>
          <w:lang w:val="en-ZA"/>
        </w:rPr>
        <w:t>A</w:t>
      </w:r>
      <w:r w:rsidRPr="00B72BD5">
        <w:rPr>
          <w:lang w:val="en-ZA"/>
        </w:rPr>
        <w:t xml:space="preserve">ddressed by the </w:t>
      </w:r>
      <w:r w:rsidR="000D3D56" w:rsidRPr="00B72BD5">
        <w:rPr>
          <w:rStyle w:val="Heading3Char"/>
          <w:lang w:val="en-ZA"/>
        </w:rPr>
        <w:t>Project</w:t>
      </w:r>
      <w:bookmarkEnd w:id="9"/>
    </w:p>
    <w:p w14:paraId="5EFAD54E" w14:textId="77777777" w:rsidR="00A43AE7" w:rsidRPr="00B72BD5" w:rsidRDefault="00A43AE7" w:rsidP="00A43AE7">
      <w:pPr>
        <w:rPr>
          <w:rFonts w:eastAsia="Calibri" w:cs="Arial"/>
          <w:sz w:val="22"/>
          <w:szCs w:val="22"/>
          <w:lang w:val="en-ZA"/>
        </w:rPr>
      </w:pPr>
      <w:r w:rsidRPr="00B72BD5">
        <w:rPr>
          <w:rFonts w:eastAsia="Calibri" w:cs="Arial"/>
          <w:sz w:val="22"/>
          <w:szCs w:val="22"/>
          <w:lang w:val="en-ZA"/>
        </w:rPr>
        <w:t xml:space="preserve">Our strategy for addressing these challenges aims to catalyse change by addressing some critical gaps:  </w:t>
      </w:r>
    </w:p>
    <w:p w14:paraId="57D5F823" w14:textId="03BB3C7F" w:rsidR="00A43AE7" w:rsidRPr="007370BE" w:rsidRDefault="00A43AE7" w:rsidP="00407190">
      <w:pPr>
        <w:pStyle w:val="ListParagraph"/>
        <w:numPr>
          <w:ilvl w:val="0"/>
          <w:numId w:val="24"/>
        </w:numPr>
        <w:rPr>
          <w:rFonts w:eastAsia="Calibri" w:cs="Arial"/>
          <w:sz w:val="22"/>
          <w:lang w:val="en-ZA"/>
        </w:rPr>
      </w:pPr>
      <w:r w:rsidRPr="007370BE">
        <w:rPr>
          <w:rFonts w:eastAsia="Calibri" w:cs="Arial"/>
          <w:sz w:val="22"/>
          <w:lang w:val="en-ZA"/>
        </w:rPr>
        <w:t xml:space="preserve">Local communities reproduce the damaging norms that limit the life chances of AGYW and LGBT+ youth; and this in turn makes for less equal, more </w:t>
      </w:r>
      <w:proofErr w:type="gramStart"/>
      <w:r w:rsidRPr="007370BE">
        <w:rPr>
          <w:rFonts w:eastAsia="Calibri" w:cs="Arial"/>
          <w:sz w:val="22"/>
          <w:lang w:val="en-ZA"/>
        </w:rPr>
        <w:t>violent</w:t>
      </w:r>
      <w:proofErr w:type="gramEnd"/>
      <w:r w:rsidRPr="007370BE">
        <w:rPr>
          <w:rFonts w:eastAsia="Calibri" w:cs="Arial"/>
          <w:sz w:val="22"/>
          <w:lang w:val="en-ZA"/>
        </w:rPr>
        <w:t xml:space="preserve"> and less healthy communities.  Donor and government priorities mean that most programming is biomedical or focused of narrow health-outcomes. And li</w:t>
      </w:r>
      <w:r w:rsidR="00D667CA" w:rsidRPr="007370BE">
        <w:rPr>
          <w:rFonts w:eastAsia="Calibri" w:cs="Arial"/>
          <w:sz w:val="22"/>
          <w:lang w:val="en-ZA"/>
        </w:rPr>
        <w:t>mited empirical</w:t>
      </w:r>
      <w:r w:rsidRPr="007370BE">
        <w:rPr>
          <w:rFonts w:eastAsia="Calibri" w:cs="Arial"/>
          <w:sz w:val="22"/>
          <w:lang w:val="en-ZA"/>
        </w:rPr>
        <w:t xml:space="preserve"> evidence is available about groups which have been rendered </w:t>
      </w:r>
      <w:proofErr w:type="gramStart"/>
      <w:r w:rsidRPr="007370BE">
        <w:rPr>
          <w:rFonts w:eastAsia="Calibri" w:cs="Arial"/>
          <w:sz w:val="22"/>
          <w:lang w:val="en-ZA"/>
        </w:rPr>
        <w:t>more or less invisible</w:t>
      </w:r>
      <w:proofErr w:type="gramEnd"/>
      <w:r w:rsidRPr="007370BE">
        <w:rPr>
          <w:rFonts w:eastAsia="Calibri" w:cs="Arial"/>
          <w:sz w:val="22"/>
          <w:lang w:val="en-ZA"/>
        </w:rPr>
        <w:t xml:space="preserve">. Consequently, relatively little emphasis is placed on the social and cultural shifts needed to produce change in the communities and neighbourhoods where people live, or in the legal and rights landscape that influences these communities. </w:t>
      </w:r>
    </w:p>
    <w:p w14:paraId="5AE13695" w14:textId="77777777" w:rsidR="00B50E35" w:rsidRDefault="00A43AE7" w:rsidP="004E39A9">
      <w:pPr>
        <w:pStyle w:val="ListParagraph"/>
        <w:numPr>
          <w:ilvl w:val="0"/>
          <w:numId w:val="24"/>
        </w:numPr>
        <w:ind w:firstLine="357"/>
        <w:rPr>
          <w:rFonts w:eastAsia="Calibri" w:cs="Arial"/>
          <w:sz w:val="22"/>
          <w:lang w:val="en-ZA"/>
        </w:rPr>
      </w:pPr>
      <w:r w:rsidRPr="00B50E35">
        <w:rPr>
          <w:rFonts w:eastAsia="Calibri" w:cs="Arial"/>
          <w:sz w:val="22"/>
          <w:lang w:val="en-ZA"/>
        </w:rPr>
        <w:t xml:space="preserve">National health and HIV policy does speak to the needs of LGBT+ and AGYW, and Comprehensive Sex Education is built into the school curriculum. However, there is a significant gap between policy and </w:t>
      </w:r>
      <w:r w:rsidR="002B0EF6" w:rsidRPr="00B50E35">
        <w:rPr>
          <w:rFonts w:eastAsia="Calibri" w:cs="Arial"/>
          <w:sz w:val="22"/>
          <w:lang w:val="en-ZA"/>
        </w:rPr>
        <w:t>practice because</w:t>
      </w:r>
      <w:r w:rsidRPr="00B50E35">
        <w:rPr>
          <w:rFonts w:eastAsia="Calibri" w:cs="Arial"/>
          <w:sz w:val="22"/>
          <w:lang w:val="en-ZA"/>
        </w:rPr>
        <w:t xml:space="preserve"> </w:t>
      </w:r>
      <w:r w:rsidR="004A3452" w:rsidRPr="00B50E35">
        <w:rPr>
          <w:rFonts w:eastAsia="Calibri" w:cs="Arial"/>
          <w:sz w:val="22"/>
          <w:lang w:val="en-ZA"/>
        </w:rPr>
        <w:t xml:space="preserve">current </w:t>
      </w:r>
      <w:r w:rsidRPr="00B50E35">
        <w:rPr>
          <w:rFonts w:eastAsia="Calibri" w:cs="Arial"/>
          <w:sz w:val="22"/>
          <w:lang w:val="en-ZA"/>
        </w:rPr>
        <w:t>programming tends to be narrowly focused on health outcomes. In other areas of policy and law – and especially in relation to LGBT+ youth – there is mostly silence and a lack of relevant and supportive policy. Indeed, several laws (</w:t>
      </w:r>
      <w:proofErr w:type="gramStart"/>
      <w:r w:rsidRPr="00B50E35">
        <w:rPr>
          <w:rFonts w:eastAsia="Calibri" w:cs="Arial"/>
          <w:sz w:val="22"/>
          <w:lang w:val="en-ZA"/>
        </w:rPr>
        <w:t>e.g.</w:t>
      </w:r>
      <w:proofErr w:type="gramEnd"/>
      <w:r w:rsidRPr="00B50E35">
        <w:rPr>
          <w:rFonts w:eastAsia="Calibri" w:cs="Arial"/>
          <w:sz w:val="22"/>
          <w:lang w:val="en-ZA"/>
        </w:rPr>
        <w:t xml:space="preserve"> the Sodomy Law and the</w:t>
      </w:r>
      <w:r w:rsidR="008E301A" w:rsidRPr="00B50E35">
        <w:rPr>
          <w:rFonts w:eastAsia="Calibri" w:cs="Arial"/>
          <w:sz w:val="22"/>
          <w:lang w:val="en-ZA"/>
        </w:rPr>
        <w:t xml:space="preserve"> </w:t>
      </w:r>
      <w:r w:rsidRPr="00B50E35">
        <w:rPr>
          <w:rFonts w:eastAsia="Calibri" w:cs="Arial"/>
          <w:sz w:val="22"/>
          <w:lang w:val="en-ZA"/>
        </w:rPr>
        <w:t xml:space="preserve">Combatting of Immoral Practices Act) actively criminalise this group – in the public imagination, if not in fact. </w:t>
      </w:r>
    </w:p>
    <w:p w14:paraId="32FFBDEA" w14:textId="530AA823" w:rsidR="00B50E35" w:rsidRPr="00B50E35" w:rsidRDefault="003770F5" w:rsidP="004E39A9">
      <w:pPr>
        <w:pStyle w:val="ListParagraph"/>
        <w:numPr>
          <w:ilvl w:val="0"/>
          <w:numId w:val="24"/>
        </w:numPr>
        <w:ind w:firstLine="357"/>
        <w:rPr>
          <w:rFonts w:eastAsia="Calibri" w:cs="Arial"/>
          <w:sz w:val="22"/>
          <w:lang w:val="en-ZA"/>
        </w:rPr>
      </w:pPr>
      <w:r w:rsidRPr="00B50E35">
        <w:rPr>
          <w:rFonts w:eastAsia="Calibri" w:cs="Arial"/>
          <w:sz w:val="22"/>
          <w:lang w:val="en-ZA"/>
        </w:rPr>
        <w:t>Civil society lacks a coherent response to these challenges. Nascent movements for change exist, but these are not always well positioned to influence social/community norms or to make the connections between their constituencies’ experience and state structures and responses</w:t>
      </w:r>
      <w:r w:rsidR="00B50E35" w:rsidRPr="00B50E35">
        <w:rPr>
          <w:rFonts w:eastAsia="Calibri" w:cs="Arial"/>
          <w:sz w:val="22"/>
          <w:lang w:val="en-ZA"/>
        </w:rPr>
        <w:t>.</w:t>
      </w:r>
    </w:p>
    <w:p w14:paraId="0F968347" w14:textId="18C31633" w:rsidR="007A0584" w:rsidRDefault="006A3763" w:rsidP="00334B32">
      <w:pPr>
        <w:ind w:firstLine="357"/>
        <w:rPr>
          <w:rFonts w:eastAsia="Calibri" w:cs="Arial"/>
          <w:sz w:val="22"/>
          <w:szCs w:val="22"/>
          <w:lang w:val="en-ZA"/>
        </w:rPr>
      </w:pPr>
      <w:r w:rsidRPr="003770F5">
        <w:rPr>
          <w:rFonts w:eastAsia="Calibri" w:cs="Arial"/>
          <w:sz w:val="22"/>
          <w:szCs w:val="22"/>
          <w:lang w:val="en-ZA"/>
        </w:rPr>
        <w:t>The</w:t>
      </w:r>
      <w:r w:rsidRPr="00B72BD5">
        <w:rPr>
          <w:rFonts w:eastAsia="Calibri" w:cs="Arial"/>
          <w:sz w:val="22"/>
          <w:szCs w:val="22"/>
          <w:lang w:val="en-ZA"/>
        </w:rPr>
        <w:t xml:space="preserve"> intervention grows directly out of a previous </w:t>
      </w:r>
      <w:r w:rsidR="008E301A">
        <w:rPr>
          <w:rFonts w:eastAsia="Calibri" w:cs="Arial"/>
          <w:sz w:val="22"/>
          <w:szCs w:val="22"/>
          <w:lang w:val="en-ZA"/>
        </w:rPr>
        <w:t>Spor Media</w:t>
      </w:r>
      <w:r w:rsidRPr="00B72BD5">
        <w:rPr>
          <w:rFonts w:eastAsia="Calibri" w:cs="Arial"/>
          <w:sz w:val="22"/>
          <w:szCs w:val="22"/>
          <w:lang w:val="en-ZA"/>
        </w:rPr>
        <w:t xml:space="preserve">/PV collaboration funded by CISU, </w:t>
      </w:r>
      <w:r w:rsidR="000D66A3" w:rsidRPr="00B72BD5">
        <w:rPr>
          <w:rFonts w:eastAsia="Calibri" w:cs="Arial"/>
          <w:sz w:val="22"/>
          <w:szCs w:val="22"/>
          <w:lang w:val="en-ZA"/>
        </w:rPr>
        <w:t>taking place from</w:t>
      </w:r>
      <w:r w:rsidR="00FA4ED4" w:rsidRPr="00B72BD5">
        <w:rPr>
          <w:rFonts w:eastAsia="Calibri" w:cs="Arial"/>
          <w:sz w:val="22"/>
          <w:szCs w:val="22"/>
          <w:lang w:val="en-ZA"/>
        </w:rPr>
        <w:t xml:space="preserve"> July 2019 to end of March 2020 with additional </w:t>
      </w:r>
      <w:r w:rsidR="00B0397D" w:rsidRPr="00B72BD5">
        <w:rPr>
          <w:rFonts w:eastAsia="Calibri" w:cs="Arial"/>
          <w:sz w:val="22"/>
          <w:szCs w:val="22"/>
          <w:lang w:val="en-ZA"/>
        </w:rPr>
        <w:t xml:space="preserve">activities continuing </w:t>
      </w:r>
      <w:r w:rsidR="00746D22">
        <w:rPr>
          <w:rFonts w:eastAsia="Calibri" w:cs="Arial"/>
          <w:sz w:val="22"/>
          <w:szCs w:val="22"/>
          <w:lang w:val="en-ZA"/>
        </w:rPr>
        <w:t>with funding from other sources</w:t>
      </w:r>
      <w:r w:rsidR="00E964EB" w:rsidRPr="00B72BD5">
        <w:rPr>
          <w:rFonts w:eastAsia="Calibri" w:cs="Arial"/>
          <w:sz w:val="22"/>
          <w:szCs w:val="22"/>
          <w:lang w:val="en-ZA"/>
        </w:rPr>
        <w:t xml:space="preserve">. This </w:t>
      </w:r>
      <w:r w:rsidR="00AC3670">
        <w:rPr>
          <w:rFonts w:eastAsia="Calibri" w:cs="Arial"/>
          <w:sz w:val="22"/>
          <w:szCs w:val="22"/>
          <w:lang w:val="en-ZA"/>
        </w:rPr>
        <w:t xml:space="preserve">previous </w:t>
      </w:r>
      <w:r w:rsidR="00E964EB" w:rsidRPr="00B72BD5">
        <w:rPr>
          <w:rFonts w:eastAsia="Calibri" w:cs="Arial"/>
          <w:sz w:val="22"/>
          <w:szCs w:val="22"/>
          <w:lang w:val="en-ZA"/>
        </w:rPr>
        <w:t>project,</w:t>
      </w:r>
      <w:r w:rsidR="0039495C" w:rsidRPr="00B72BD5">
        <w:rPr>
          <w:rFonts w:eastAsia="Calibri" w:cs="Arial"/>
          <w:sz w:val="22"/>
          <w:szCs w:val="22"/>
          <w:lang w:val="en-ZA"/>
        </w:rPr>
        <w:t xml:space="preserve"> GETTING READY FOR A COMPREHENSIVE ADOLESCENT AND YOUNG PEOPLE (AYP) PROGRAMME IN NAMIBIA</w:t>
      </w:r>
      <w:r w:rsidR="00A33335" w:rsidRPr="00B72BD5">
        <w:rPr>
          <w:rFonts w:eastAsia="Calibri" w:cs="Arial"/>
          <w:sz w:val="22"/>
          <w:szCs w:val="22"/>
          <w:lang w:val="en-ZA"/>
        </w:rPr>
        <w:t xml:space="preserve"> </w:t>
      </w:r>
      <w:r w:rsidR="00E964EB" w:rsidRPr="00B72BD5">
        <w:rPr>
          <w:rFonts w:eastAsia="Calibri" w:cs="Arial"/>
          <w:sz w:val="22"/>
          <w:szCs w:val="22"/>
          <w:lang w:val="en-ZA"/>
        </w:rPr>
        <w:t>established</w:t>
      </w:r>
      <w:r w:rsidR="00FB143F" w:rsidRPr="00B72BD5">
        <w:rPr>
          <w:rFonts w:eastAsia="Calibri" w:cs="Arial"/>
          <w:sz w:val="22"/>
          <w:szCs w:val="22"/>
          <w:lang w:val="en-ZA"/>
        </w:rPr>
        <w:t xml:space="preserve"> the </w:t>
      </w:r>
      <w:r w:rsidR="00920D68">
        <w:rPr>
          <w:rFonts w:eastAsia="Calibri" w:cs="Arial"/>
          <w:sz w:val="22"/>
          <w:szCs w:val="22"/>
          <w:lang w:val="en-ZA"/>
        </w:rPr>
        <w:t>pre-</w:t>
      </w:r>
      <w:r w:rsidR="00D13E98">
        <w:rPr>
          <w:rFonts w:eastAsia="Calibri" w:cs="Arial"/>
          <w:sz w:val="22"/>
          <w:szCs w:val="22"/>
          <w:lang w:val="en-ZA"/>
        </w:rPr>
        <w:t>conditions</w:t>
      </w:r>
      <w:r w:rsidR="00A33335" w:rsidRPr="00B72BD5">
        <w:rPr>
          <w:rFonts w:eastAsia="Calibri" w:cs="Arial"/>
          <w:sz w:val="22"/>
          <w:szCs w:val="22"/>
          <w:lang w:val="en-ZA"/>
        </w:rPr>
        <w:t xml:space="preserve"> for the present project through developing the Spor – PV partnership, developing a</w:t>
      </w:r>
      <w:r w:rsidR="001D00A6" w:rsidRPr="00B72BD5">
        <w:rPr>
          <w:rFonts w:eastAsia="Calibri" w:cs="Arial"/>
          <w:sz w:val="22"/>
          <w:szCs w:val="22"/>
          <w:lang w:val="en-ZA"/>
        </w:rPr>
        <w:t xml:space="preserve"> strategy for </w:t>
      </w:r>
      <w:r w:rsidR="00CE21EB" w:rsidRPr="00B72BD5">
        <w:rPr>
          <w:rFonts w:eastAsia="Calibri" w:cs="Arial"/>
          <w:sz w:val="22"/>
          <w:szCs w:val="22"/>
          <w:lang w:val="en-ZA"/>
        </w:rPr>
        <w:t>PVs AYP work, and c</w:t>
      </w:r>
      <w:r w:rsidR="005D75DE" w:rsidRPr="00B72BD5">
        <w:rPr>
          <w:rFonts w:eastAsia="Calibri" w:cs="Arial"/>
          <w:sz w:val="22"/>
          <w:szCs w:val="22"/>
          <w:lang w:val="en-ZA"/>
        </w:rPr>
        <w:t>reating buy</w:t>
      </w:r>
      <w:r w:rsidR="003134F3" w:rsidRPr="00B72BD5">
        <w:rPr>
          <w:rFonts w:eastAsia="Calibri" w:cs="Arial"/>
          <w:sz w:val="22"/>
          <w:szCs w:val="22"/>
          <w:lang w:val="en-ZA"/>
        </w:rPr>
        <w:t>-</w:t>
      </w:r>
      <w:r w:rsidR="005D75DE" w:rsidRPr="00B72BD5">
        <w:rPr>
          <w:rFonts w:eastAsia="Calibri" w:cs="Arial"/>
          <w:sz w:val="22"/>
          <w:szCs w:val="22"/>
          <w:lang w:val="en-ZA"/>
        </w:rPr>
        <w:t>in to the new strategy among the target group and CSO and governmental actors.</w:t>
      </w:r>
      <w:r w:rsidR="005B3F58" w:rsidRPr="00B72BD5">
        <w:rPr>
          <w:rFonts w:eastAsia="Calibri" w:cs="Arial"/>
          <w:sz w:val="22"/>
          <w:szCs w:val="22"/>
          <w:lang w:val="en-ZA"/>
        </w:rPr>
        <w:t xml:space="preserve"> </w:t>
      </w:r>
    </w:p>
    <w:p w14:paraId="0C8BE74A" w14:textId="7410BCFC" w:rsidR="00295BA4" w:rsidRPr="00BC26E9" w:rsidRDefault="00295BA4" w:rsidP="008250AE">
      <w:pPr>
        <w:rPr>
          <w:sz w:val="22"/>
          <w:szCs w:val="22"/>
          <w:lang w:val="en-ZA"/>
        </w:rPr>
      </w:pPr>
      <w:r>
        <w:rPr>
          <w:rFonts w:eastAsia="Calibri" w:cs="Arial"/>
          <w:sz w:val="22"/>
          <w:szCs w:val="22"/>
          <w:lang w:val="en-ZA"/>
        </w:rPr>
        <w:t>B</w:t>
      </w:r>
      <w:r w:rsidRPr="00DC5F14">
        <w:rPr>
          <w:rFonts w:eastAsia="Calibri" w:cs="Arial"/>
          <w:sz w:val="22"/>
          <w:szCs w:val="22"/>
          <w:lang w:val="en-ZA"/>
        </w:rPr>
        <w:t xml:space="preserve">ased on the new strategy, </w:t>
      </w:r>
      <w:r w:rsidRPr="0039042F">
        <w:rPr>
          <w:rFonts w:eastAsia="Calibri" w:cs="Arial"/>
          <w:sz w:val="22"/>
          <w:szCs w:val="22"/>
          <w:lang w:val="en-ZA"/>
        </w:rPr>
        <w:t xml:space="preserve">Spor Media and PV applied for a larger project in March 21 which was approved but rejected due to lack of funds. </w:t>
      </w:r>
      <w:r>
        <w:rPr>
          <w:rFonts w:eastAsia="Calibri" w:cs="Arial"/>
          <w:sz w:val="22"/>
          <w:szCs w:val="22"/>
          <w:lang w:val="en-ZA"/>
        </w:rPr>
        <w:t xml:space="preserve">A slimmed down version of this project retaining 2 out of previously 4 </w:t>
      </w:r>
      <w:r>
        <w:rPr>
          <w:rFonts w:eastAsia="Calibri" w:cs="Arial"/>
          <w:sz w:val="22"/>
          <w:szCs w:val="22"/>
          <w:lang w:val="en-ZA"/>
        </w:rPr>
        <w:lastRenderedPageBreak/>
        <w:t xml:space="preserve">Immediate Objectives (IO1 and IO4) and only working in one community </w:t>
      </w:r>
      <w:r w:rsidR="00FF5542">
        <w:rPr>
          <w:rFonts w:eastAsia="Calibri" w:cs="Arial"/>
          <w:sz w:val="22"/>
          <w:szCs w:val="22"/>
          <w:lang w:val="en-ZA"/>
        </w:rPr>
        <w:t>(</w:t>
      </w:r>
      <w:r w:rsidR="00FF5542" w:rsidRPr="00AC3420">
        <w:rPr>
          <w:sz w:val="22"/>
          <w:szCs w:val="22"/>
          <w:lang w:val="en-ZA"/>
        </w:rPr>
        <w:t>I</w:t>
      </w:r>
      <w:r w:rsidR="00FF5542" w:rsidRPr="00E14559">
        <w:rPr>
          <w:sz w:val="22"/>
          <w:szCs w:val="22"/>
          <w:lang w:val="en-ZA"/>
        </w:rPr>
        <w:t>nclu</w:t>
      </w:r>
      <w:r w:rsidR="00FF5542" w:rsidRPr="00AC3420">
        <w:rPr>
          <w:sz w:val="22"/>
          <w:szCs w:val="22"/>
          <w:lang w:val="en-ZA"/>
        </w:rPr>
        <w:t xml:space="preserve">sion, </w:t>
      </w:r>
      <w:proofErr w:type="gramStart"/>
      <w:r w:rsidR="00FF5542" w:rsidRPr="00AC3420">
        <w:rPr>
          <w:sz w:val="22"/>
          <w:szCs w:val="22"/>
          <w:lang w:val="en-ZA"/>
        </w:rPr>
        <w:t>acceptance</w:t>
      </w:r>
      <w:proofErr w:type="gramEnd"/>
      <w:r w:rsidR="00FF5542" w:rsidRPr="00AC3420">
        <w:rPr>
          <w:sz w:val="22"/>
          <w:szCs w:val="22"/>
          <w:lang w:val="en-ZA"/>
        </w:rPr>
        <w:t xml:space="preserve"> and safety – A foundational project</w:t>
      </w:r>
      <w:r w:rsidR="00D32061">
        <w:rPr>
          <w:sz w:val="22"/>
          <w:szCs w:val="22"/>
          <w:lang w:val="en-ZA"/>
        </w:rPr>
        <w:t>)</w:t>
      </w:r>
      <w:r w:rsidR="00FF5542">
        <w:rPr>
          <w:sz w:val="22"/>
          <w:szCs w:val="22"/>
          <w:lang w:val="en-ZA"/>
        </w:rPr>
        <w:t xml:space="preserve"> </w:t>
      </w:r>
      <w:r>
        <w:rPr>
          <w:rFonts w:eastAsia="Calibri" w:cs="Arial"/>
          <w:sz w:val="22"/>
          <w:szCs w:val="22"/>
          <w:lang w:val="en-ZA"/>
        </w:rPr>
        <w:t xml:space="preserve">was submitted for the September 21 funding round and received funding. </w:t>
      </w:r>
      <w:r w:rsidRPr="0039042F">
        <w:rPr>
          <w:rFonts w:eastAsia="Calibri" w:cs="Arial"/>
          <w:sz w:val="22"/>
          <w:szCs w:val="22"/>
          <w:lang w:val="en-ZA"/>
        </w:rPr>
        <w:t xml:space="preserve">The </w:t>
      </w:r>
      <w:r>
        <w:rPr>
          <w:rFonts w:eastAsia="Calibri" w:cs="Arial"/>
          <w:sz w:val="22"/>
          <w:szCs w:val="22"/>
          <w:lang w:val="en-ZA"/>
        </w:rPr>
        <w:t>slimmed down project</w:t>
      </w:r>
      <w:r w:rsidR="00E6745B">
        <w:rPr>
          <w:rFonts w:eastAsia="Calibri" w:cs="Arial"/>
          <w:sz w:val="22"/>
          <w:szCs w:val="22"/>
          <w:lang w:val="en-ZA"/>
        </w:rPr>
        <w:t xml:space="preserve"> which has just started implementation</w:t>
      </w:r>
      <w:r>
        <w:rPr>
          <w:rFonts w:eastAsia="Calibri" w:cs="Arial"/>
          <w:sz w:val="22"/>
          <w:szCs w:val="22"/>
          <w:lang w:val="en-ZA"/>
        </w:rPr>
        <w:t xml:space="preserve"> supports PVs </w:t>
      </w:r>
      <w:r w:rsidRPr="005A21FE">
        <w:rPr>
          <w:rFonts w:eastAsia="Calibri" w:cs="Arial"/>
          <w:i/>
          <w:iCs/>
          <w:sz w:val="22"/>
          <w:szCs w:val="22"/>
          <w:lang w:val="en-ZA"/>
        </w:rPr>
        <w:t>direct</w:t>
      </w:r>
      <w:r>
        <w:rPr>
          <w:rFonts w:eastAsia="Calibri" w:cs="Arial"/>
          <w:sz w:val="22"/>
          <w:szCs w:val="22"/>
          <w:lang w:val="en-ZA"/>
        </w:rPr>
        <w:t xml:space="preserve"> in-depth work with CSO</w:t>
      </w:r>
      <w:r w:rsidR="004C382A">
        <w:rPr>
          <w:rFonts w:eastAsia="Calibri" w:cs="Arial"/>
          <w:sz w:val="22"/>
          <w:szCs w:val="22"/>
          <w:lang w:val="en-ZA"/>
        </w:rPr>
        <w:t>s</w:t>
      </w:r>
      <w:r>
        <w:rPr>
          <w:rFonts w:eastAsia="Calibri" w:cs="Arial"/>
          <w:sz w:val="22"/>
          <w:szCs w:val="22"/>
          <w:lang w:val="en-ZA"/>
        </w:rPr>
        <w:t xml:space="preserve">, community and government structures in </w:t>
      </w:r>
      <w:r w:rsidRPr="00BC26E9">
        <w:rPr>
          <w:rFonts w:eastAsia="Calibri" w:cs="Arial"/>
          <w:sz w:val="22"/>
          <w:szCs w:val="22"/>
          <w:lang w:val="en-ZA"/>
        </w:rPr>
        <w:t>one community</w:t>
      </w:r>
      <w:r>
        <w:rPr>
          <w:rFonts w:eastAsia="Calibri" w:cs="Arial"/>
          <w:sz w:val="22"/>
          <w:szCs w:val="22"/>
          <w:lang w:val="en-ZA"/>
        </w:rPr>
        <w:t xml:space="preserve"> and PVs </w:t>
      </w:r>
      <w:r w:rsidRPr="005A21FE">
        <w:rPr>
          <w:rFonts w:eastAsia="Calibri" w:cs="Arial"/>
          <w:i/>
          <w:iCs/>
          <w:sz w:val="22"/>
          <w:szCs w:val="22"/>
          <w:lang w:val="en-ZA"/>
        </w:rPr>
        <w:t>direct</w:t>
      </w:r>
      <w:r>
        <w:rPr>
          <w:rFonts w:eastAsia="Calibri" w:cs="Arial"/>
          <w:sz w:val="22"/>
          <w:szCs w:val="22"/>
          <w:lang w:val="en-ZA"/>
        </w:rPr>
        <w:t xml:space="preserve"> work </w:t>
      </w:r>
      <w:r w:rsidRPr="00BC26E9">
        <w:rPr>
          <w:rFonts w:eastAsia="Calibri" w:cs="Arial"/>
          <w:sz w:val="22"/>
          <w:szCs w:val="22"/>
          <w:lang w:val="en-ZA"/>
        </w:rPr>
        <w:t>with national level advocacy.</w:t>
      </w:r>
    </w:p>
    <w:p w14:paraId="75DF4A72" w14:textId="2B7E791A" w:rsidR="00295BA4" w:rsidRDefault="00295BA4" w:rsidP="007C0303">
      <w:pPr>
        <w:ind w:firstLine="357"/>
        <w:rPr>
          <w:rFonts w:eastAsia="Calibri" w:cs="Arial"/>
          <w:sz w:val="22"/>
          <w:szCs w:val="22"/>
          <w:lang w:val="en-ZA"/>
        </w:rPr>
      </w:pPr>
      <w:r>
        <w:rPr>
          <w:rFonts w:eastAsia="Calibri" w:cs="Arial"/>
          <w:sz w:val="22"/>
          <w:szCs w:val="22"/>
          <w:lang w:val="en-ZA"/>
        </w:rPr>
        <w:t xml:space="preserve">The </w:t>
      </w:r>
      <w:r w:rsidRPr="0039042F">
        <w:rPr>
          <w:rFonts w:eastAsia="Calibri" w:cs="Arial"/>
          <w:sz w:val="22"/>
          <w:szCs w:val="22"/>
          <w:lang w:val="en-ZA"/>
        </w:rPr>
        <w:t>present project</w:t>
      </w:r>
      <w:r>
        <w:rPr>
          <w:rFonts w:eastAsia="Calibri" w:cs="Arial"/>
          <w:sz w:val="22"/>
          <w:szCs w:val="22"/>
          <w:lang w:val="en-ZA"/>
        </w:rPr>
        <w:t>, while positioned within the same</w:t>
      </w:r>
      <w:r w:rsidRPr="0039042F">
        <w:rPr>
          <w:rFonts w:eastAsia="Calibri" w:cs="Arial"/>
          <w:sz w:val="22"/>
          <w:szCs w:val="22"/>
          <w:lang w:val="en-ZA"/>
        </w:rPr>
        <w:t xml:space="preserve"> </w:t>
      </w:r>
      <w:r w:rsidR="00001DD7">
        <w:rPr>
          <w:rFonts w:eastAsia="Calibri" w:cs="Arial"/>
          <w:sz w:val="22"/>
          <w:szCs w:val="22"/>
          <w:lang w:val="en-ZA"/>
        </w:rPr>
        <w:t xml:space="preserve">new </w:t>
      </w:r>
      <w:r>
        <w:rPr>
          <w:rFonts w:eastAsia="Calibri" w:cs="Arial"/>
          <w:sz w:val="22"/>
          <w:szCs w:val="22"/>
          <w:lang w:val="en-ZA"/>
        </w:rPr>
        <w:t>strategy for PVs work</w:t>
      </w:r>
      <w:r w:rsidR="00302457">
        <w:rPr>
          <w:rFonts w:eastAsia="Calibri" w:cs="Arial"/>
          <w:sz w:val="22"/>
          <w:szCs w:val="22"/>
          <w:lang w:val="en-ZA"/>
        </w:rPr>
        <w:t xml:space="preserve"> with</w:t>
      </w:r>
      <w:r>
        <w:rPr>
          <w:rFonts w:eastAsia="Calibri" w:cs="Arial"/>
          <w:sz w:val="22"/>
          <w:szCs w:val="22"/>
          <w:lang w:val="en-ZA"/>
        </w:rPr>
        <w:t xml:space="preserve"> AYPs, takes a different and more </w:t>
      </w:r>
      <w:r w:rsidRPr="005A21FE">
        <w:rPr>
          <w:rFonts w:eastAsia="Calibri" w:cs="Arial"/>
          <w:i/>
          <w:iCs/>
          <w:sz w:val="22"/>
          <w:szCs w:val="22"/>
          <w:lang w:val="en-ZA"/>
        </w:rPr>
        <w:t>indirect</w:t>
      </w:r>
      <w:r>
        <w:rPr>
          <w:rFonts w:eastAsia="Calibri" w:cs="Arial"/>
          <w:sz w:val="22"/>
          <w:szCs w:val="22"/>
          <w:lang w:val="en-ZA"/>
        </w:rPr>
        <w:t xml:space="preserve"> approach by supporting the development of organisations working with and for young LGBT+ people and AGYWs, and their work with their constituency and their advocacy work. This enhances the capacity of the CSOs working within the sector and makes it possible to reach a broader geographical area. The project builds on the plans included as IO3 in the March 21 application but has been substantially developed</w:t>
      </w:r>
      <w:r w:rsidR="00B2437D">
        <w:rPr>
          <w:rFonts w:eastAsia="Calibri" w:cs="Arial"/>
          <w:sz w:val="22"/>
          <w:szCs w:val="22"/>
          <w:lang w:val="en-ZA"/>
        </w:rPr>
        <w:t>.</w:t>
      </w:r>
    </w:p>
    <w:p w14:paraId="1237F453" w14:textId="6870D013" w:rsidR="00295BA4" w:rsidRDefault="00295BA4" w:rsidP="007C0303">
      <w:pPr>
        <w:ind w:firstLine="357"/>
        <w:rPr>
          <w:rFonts w:eastAsia="Calibri" w:cs="Arial"/>
          <w:sz w:val="22"/>
          <w:szCs w:val="22"/>
          <w:lang w:val="en-ZA"/>
        </w:rPr>
      </w:pPr>
      <w:r>
        <w:rPr>
          <w:rFonts w:eastAsia="Calibri" w:cs="Arial"/>
          <w:sz w:val="22"/>
          <w:szCs w:val="22"/>
          <w:lang w:val="en-ZA"/>
        </w:rPr>
        <w:t xml:space="preserve">These two projects </w:t>
      </w:r>
      <w:r w:rsidR="00970613">
        <w:rPr>
          <w:rFonts w:eastAsia="Calibri" w:cs="Arial"/>
          <w:sz w:val="22"/>
          <w:szCs w:val="22"/>
          <w:lang w:val="en-ZA"/>
        </w:rPr>
        <w:t xml:space="preserve">which will mostly run parallel </w:t>
      </w:r>
      <w:r w:rsidR="00B96C5A">
        <w:rPr>
          <w:rFonts w:eastAsia="Calibri" w:cs="Arial"/>
          <w:sz w:val="22"/>
          <w:szCs w:val="22"/>
          <w:lang w:val="en-ZA"/>
        </w:rPr>
        <w:t xml:space="preserve">with each other </w:t>
      </w:r>
      <w:r>
        <w:rPr>
          <w:rFonts w:eastAsia="Calibri" w:cs="Arial"/>
          <w:sz w:val="22"/>
          <w:szCs w:val="22"/>
          <w:lang w:val="en-ZA"/>
        </w:rPr>
        <w:t>both grow out of PVs AYP strategy and have substantial potential for cross fertilization and for otherwise supporting each other. The combination of in-depth work in one community</w:t>
      </w:r>
      <w:r w:rsidR="00B84EC7">
        <w:rPr>
          <w:rFonts w:eastAsia="Calibri" w:cs="Arial"/>
          <w:sz w:val="22"/>
          <w:szCs w:val="22"/>
          <w:lang w:val="en-ZA"/>
        </w:rPr>
        <w:t xml:space="preserve"> combined with high level advocacy work </w:t>
      </w:r>
      <w:r w:rsidR="007C28FE">
        <w:rPr>
          <w:rFonts w:eastAsia="Calibri" w:cs="Arial"/>
          <w:sz w:val="22"/>
          <w:szCs w:val="22"/>
          <w:lang w:val="en-ZA"/>
        </w:rPr>
        <w:t>by PV (the first project</w:t>
      </w:r>
      <w:r w:rsidR="00A222DB">
        <w:rPr>
          <w:rFonts w:eastAsia="Calibri" w:cs="Arial"/>
          <w:sz w:val="22"/>
          <w:szCs w:val="22"/>
          <w:lang w:val="en-ZA"/>
        </w:rPr>
        <w:t xml:space="preserve">) </w:t>
      </w:r>
      <w:r>
        <w:rPr>
          <w:rFonts w:eastAsia="Calibri" w:cs="Arial"/>
          <w:sz w:val="22"/>
          <w:szCs w:val="22"/>
          <w:lang w:val="en-ZA"/>
        </w:rPr>
        <w:t xml:space="preserve">with </w:t>
      </w:r>
      <w:r w:rsidR="005C36E3">
        <w:rPr>
          <w:rFonts w:eastAsia="Calibri" w:cs="Arial"/>
          <w:sz w:val="22"/>
          <w:szCs w:val="22"/>
          <w:lang w:val="en-ZA"/>
        </w:rPr>
        <w:t xml:space="preserve">work through partners </w:t>
      </w:r>
      <w:r>
        <w:rPr>
          <w:rFonts w:eastAsia="Calibri" w:cs="Arial"/>
          <w:sz w:val="22"/>
          <w:szCs w:val="22"/>
          <w:lang w:val="en-ZA"/>
        </w:rPr>
        <w:t xml:space="preserve">across </w:t>
      </w:r>
      <w:r w:rsidR="00147E13">
        <w:rPr>
          <w:rFonts w:eastAsia="Calibri" w:cs="Arial"/>
          <w:sz w:val="22"/>
          <w:szCs w:val="22"/>
          <w:lang w:val="en-ZA"/>
        </w:rPr>
        <w:t>5 ot</w:t>
      </w:r>
      <w:r w:rsidR="005C36E3">
        <w:rPr>
          <w:rFonts w:eastAsia="Calibri" w:cs="Arial"/>
          <w:sz w:val="22"/>
          <w:szCs w:val="22"/>
          <w:lang w:val="en-ZA"/>
        </w:rPr>
        <w:t>her</w:t>
      </w:r>
      <w:r w:rsidR="00147E13">
        <w:rPr>
          <w:rFonts w:eastAsia="Calibri" w:cs="Arial"/>
          <w:sz w:val="22"/>
          <w:szCs w:val="22"/>
          <w:lang w:val="en-ZA"/>
        </w:rPr>
        <w:t xml:space="preserve"> </w:t>
      </w:r>
      <w:r>
        <w:rPr>
          <w:rFonts w:eastAsia="Calibri" w:cs="Arial"/>
          <w:sz w:val="22"/>
          <w:szCs w:val="22"/>
          <w:lang w:val="en-ZA"/>
        </w:rPr>
        <w:t>communities</w:t>
      </w:r>
      <w:r w:rsidR="00CD0FC2">
        <w:rPr>
          <w:rFonts w:eastAsia="Calibri" w:cs="Arial"/>
          <w:sz w:val="22"/>
          <w:szCs w:val="22"/>
          <w:lang w:val="en-ZA"/>
        </w:rPr>
        <w:t xml:space="preserve"> with a focus on community level advocacy work</w:t>
      </w:r>
      <w:r w:rsidR="00A222DB">
        <w:rPr>
          <w:rFonts w:eastAsia="Calibri" w:cs="Arial"/>
          <w:sz w:val="22"/>
          <w:szCs w:val="22"/>
          <w:lang w:val="en-ZA"/>
        </w:rPr>
        <w:t xml:space="preserve"> (in this project)</w:t>
      </w:r>
      <w:r>
        <w:rPr>
          <w:rFonts w:eastAsia="Calibri" w:cs="Arial"/>
          <w:sz w:val="22"/>
          <w:szCs w:val="22"/>
          <w:lang w:val="en-ZA"/>
        </w:rPr>
        <w:t xml:space="preserve">, </w:t>
      </w:r>
      <w:r w:rsidR="006F7091">
        <w:rPr>
          <w:rFonts w:eastAsia="Calibri" w:cs="Arial"/>
          <w:sz w:val="22"/>
          <w:szCs w:val="22"/>
          <w:lang w:val="en-ZA"/>
        </w:rPr>
        <w:t xml:space="preserve">are supplementary </w:t>
      </w:r>
      <w:r w:rsidR="006F79E0">
        <w:rPr>
          <w:rFonts w:eastAsia="Calibri" w:cs="Arial"/>
          <w:sz w:val="22"/>
          <w:szCs w:val="22"/>
          <w:lang w:val="en-ZA"/>
        </w:rPr>
        <w:t xml:space="preserve">and will </w:t>
      </w:r>
      <w:r w:rsidR="00F85F8D">
        <w:rPr>
          <w:rFonts w:eastAsia="Calibri" w:cs="Arial"/>
          <w:sz w:val="22"/>
          <w:szCs w:val="22"/>
          <w:lang w:val="en-ZA"/>
        </w:rPr>
        <w:t>offer an opportunity to t</w:t>
      </w:r>
      <w:r w:rsidR="0083732A">
        <w:rPr>
          <w:rFonts w:eastAsia="Calibri" w:cs="Arial"/>
          <w:sz w:val="22"/>
          <w:szCs w:val="22"/>
          <w:lang w:val="en-ZA"/>
        </w:rPr>
        <w:t>rial and learn from different approaches.</w:t>
      </w:r>
    </w:p>
    <w:p w14:paraId="5F6F7EAA" w14:textId="7503E2AB" w:rsidR="00A91BFA" w:rsidRPr="00120CD9" w:rsidRDefault="00A91BFA" w:rsidP="007C0303">
      <w:pPr>
        <w:ind w:firstLine="357"/>
        <w:rPr>
          <w:rFonts w:eastAsia="Calibri" w:cs="Arial"/>
          <w:i/>
          <w:iCs/>
          <w:sz w:val="22"/>
          <w:szCs w:val="22"/>
          <w:lang w:val="en-ZA"/>
        </w:rPr>
      </w:pPr>
      <w:r w:rsidRPr="00120CD9">
        <w:rPr>
          <w:rFonts w:eastAsia="Calibri" w:cs="Arial"/>
          <w:i/>
          <w:iCs/>
          <w:sz w:val="22"/>
          <w:szCs w:val="22"/>
          <w:lang w:val="en-ZA"/>
        </w:rPr>
        <w:t xml:space="preserve">Because the two projects </w:t>
      </w:r>
      <w:r w:rsidR="008B1F4F" w:rsidRPr="00120CD9">
        <w:rPr>
          <w:rFonts w:eastAsia="Calibri" w:cs="Arial"/>
          <w:i/>
          <w:iCs/>
          <w:sz w:val="22"/>
          <w:szCs w:val="22"/>
          <w:lang w:val="en-ZA"/>
        </w:rPr>
        <w:t xml:space="preserve">are situated within the same context and the overall same strategy, </w:t>
      </w:r>
      <w:r w:rsidR="00AD54AD" w:rsidRPr="00120CD9">
        <w:rPr>
          <w:rFonts w:eastAsia="Calibri" w:cs="Arial"/>
          <w:i/>
          <w:iCs/>
          <w:sz w:val="22"/>
          <w:szCs w:val="22"/>
          <w:lang w:val="en-ZA"/>
        </w:rPr>
        <w:t>substantial elements of the</w:t>
      </w:r>
      <w:r w:rsidR="004D3DFA" w:rsidRPr="00120CD9">
        <w:rPr>
          <w:rFonts w:eastAsia="Calibri" w:cs="Arial"/>
          <w:i/>
          <w:iCs/>
          <w:sz w:val="22"/>
          <w:szCs w:val="22"/>
          <w:lang w:val="en-ZA"/>
        </w:rPr>
        <w:t xml:space="preserve"> context description</w:t>
      </w:r>
      <w:r w:rsidR="00AD54AD" w:rsidRPr="00120CD9">
        <w:rPr>
          <w:rFonts w:eastAsia="Calibri" w:cs="Arial"/>
          <w:i/>
          <w:iCs/>
          <w:sz w:val="22"/>
          <w:szCs w:val="22"/>
          <w:lang w:val="en-ZA"/>
        </w:rPr>
        <w:t xml:space="preserve"> and some elements in the strate</w:t>
      </w:r>
      <w:r w:rsidR="002156E4" w:rsidRPr="00120CD9">
        <w:rPr>
          <w:rFonts w:eastAsia="Calibri" w:cs="Arial"/>
          <w:i/>
          <w:iCs/>
          <w:sz w:val="22"/>
          <w:szCs w:val="22"/>
          <w:lang w:val="en-ZA"/>
        </w:rPr>
        <w:t>gy description are partly similar.</w:t>
      </w:r>
    </w:p>
    <w:p w14:paraId="17A1855D" w14:textId="77777777" w:rsidR="00960BE0" w:rsidRDefault="00960BE0" w:rsidP="00960BE0">
      <w:pPr>
        <w:rPr>
          <w:rFonts w:eastAsia="Calibri" w:cs="Arial"/>
          <w:b/>
          <w:bCs/>
          <w:sz w:val="22"/>
          <w:szCs w:val="22"/>
          <w:lang w:val="en-ZA"/>
        </w:rPr>
      </w:pPr>
    </w:p>
    <w:p w14:paraId="04485903" w14:textId="77777777" w:rsidR="00963070" w:rsidRPr="00B72BD5" w:rsidRDefault="00963070" w:rsidP="00334B32">
      <w:pPr>
        <w:pStyle w:val="Heading2"/>
      </w:pPr>
      <w:bookmarkStart w:id="10" w:name="_Toc34813948"/>
      <w:bookmarkStart w:id="11" w:name="_Hlk36802702"/>
      <w:bookmarkStart w:id="12" w:name="_Toc113951205"/>
      <w:r w:rsidRPr="00B72BD5">
        <w:t xml:space="preserve">Intervention context: relevant social, </w:t>
      </w:r>
      <w:proofErr w:type="gramStart"/>
      <w:r w:rsidRPr="00B72BD5">
        <w:t>economic</w:t>
      </w:r>
      <w:proofErr w:type="gramEnd"/>
      <w:r w:rsidRPr="00B72BD5">
        <w:t xml:space="preserve"> and political conditions</w:t>
      </w:r>
      <w:r w:rsidRPr="00B72BD5">
        <w:rPr>
          <w:vertAlign w:val="superscript"/>
        </w:rPr>
        <w:footnoteReference w:id="5"/>
      </w:r>
      <w:bookmarkEnd w:id="10"/>
      <w:bookmarkEnd w:id="12"/>
    </w:p>
    <w:p w14:paraId="668B67E5" w14:textId="77777777" w:rsidR="00963070" w:rsidRPr="00B72BD5" w:rsidRDefault="00963070" w:rsidP="00334B32">
      <w:pPr>
        <w:rPr>
          <w:sz w:val="22"/>
          <w:szCs w:val="22"/>
          <w:lang w:val="en-ZA"/>
        </w:rPr>
      </w:pPr>
      <w:r w:rsidRPr="00B72BD5">
        <w:rPr>
          <w:sz w:val="22"/>
          <w:szCs w:val="22"/>
          <w:lang w:val="en-ZA"/>
        </w:rPr>
        <w:t xml:space="preserve">Namibia is a relatively stable environment. While substantial changes have happened in the years following </w:t>
      </w:r>
      <w:r w:rsidRPr="00B80E40">
        <w:rPr>
          <w:sz w:val="22"/>
          <w:szCs w:val="22"/>
          <w:lang w:val="en-ZA"/>
        </w:rPr>
        <w:t>independence in 1989,</w:t>
      </w:r>
      <w:r w:rsidRPr="00B72BD5">
        <w:rPr>
          <w:sz w:val="22"/>
          <w:szCs w:val="22"/>
          <w:lang w:val="en-ZA"/>
        </w:rPr>
        <w:t xml:space="preserve"> fundamental changes in relation to gender roles and perceptions of LGBT+ have been slow to unfold.</w:t>
      </w:r>
    </w:p>
    <w:p w14:paraId="0D1DAD4D" w14:textId="77777777" w:rsidR="00963070" w:rsidRPr="00B72BD5" w:rsidRDefault="00963070" w:rsidP="00334B32">
      <w:pPr>
        <w:ind w:firstLine="357"/>
        <w:rPr>
          <w:sz w:val="22"/>
          <w:szCs w:val="22"/>
          <w:lang w:val="en-ZA"/>
        </w:rPr>
      </w:pPr>
      <w:r w:rsidRPr="00B72BD5">
        <w:rPr>
          <w:sz w:val="22"/>
          <w:szCs w:val="22"/>
          <w:lang w:val="en-ZA"/>
        </w:rPr>
        <w:t>Namibia’s 1990 Constitution</w:t>
      </w:r>
      <w:r w:rsidRPr="00B72BD5">
        <w:rPr>
          <w:sz w:val="22"/>
          <w:szCs w:val="22"/>
          <w:vertAlign w:val="superscript"/>
          <w:lang w:val="en-ZA"/>
        </w:rPr>
        <w:footnoteReference w:id="6"/>
      </w:r>
      <w:r w:rsidRPr="00B72BD5">
        <w:rPr>
          <w:sz w:val="22"/>
          <w:szCs w:val="22"/>
          <w:lang w:val="en-ZA"/>
        </w:rPr>
        <w:t xml:space="preserve"> aimed to redress the impact of years of genocide, </w:t>
      </w:r>
      <w:proofErr w:type="gramStart"/>
      <w:r w:rsidRPr="00B72BD5">
        <w:rPr>
          <w:sz w:val="22"/>
          <w:szCs w:val="22"/>
          <w:lang w:val="en-ZA"/>
        </w:rPr>
        <w:t>racism</w:t>
      </w:r>
      <w:proofErr w:type="gramEnd"/>
      <w:r w:rsidRPr="00B72BD5">
        <w:rPr>
          <w:sz w:val="22"/>
          <w:szCs w:val="22"/>
          <w:lang w:val="en-ZA"/>
        </w:rPr>
        <w:t xml:space="preserve"> and apartheid under colonial rule. Two principles are central to the Constitution:  </w:t>
      </w:r>
    </w:p>
    <w:p w14:paraId="468E0A63" w14:textId="77777777" w:rsidR="00963070" w:rsidRPr="00B72BD5" w:rsidRDefault="00963070" w:rsidP="00407190">
      <w:pPr>
        <w:pStyle w:val="ListParagraph"/>
        <w:numPr>
          <w:ilvl w:val="0"/>
          <w:numId w:val="9"/>
        </w:numPr>
        <w:spacing w:after="0" w:line="240" w:lineRule="auto"/>
        <w:ind w:firstLine="357"/>
        <w:rPr>
          <w:b/>
          <w:bCs/>
          <w:sz w:val="22"/>
          <w:lang w:val="en-ZA"/>
        </w:rPr>
      </w:pPr>
      <w:r w:rsidRPr="00B72BD5">
        <w:rPr>
          <w:sz w:val="22"/>
          <w:lang w:val="en-ZA"/>
        </w:rPr>
        <w:t xml:space="preserve">Recognition of human rights </w:t>
      </w:r>
      <w:r w:rsidRPr="00B72BD5">
        <w:rPr>
          <w:bCs/>
          <w:i/>
          <w:sz w:val="22"/>
          <w:lang w:val="en-ZA"/>
        </w:rPr>
        <w:t>for all</w:t>
      </w:r>
    </w:p>
    <w:p w14:paraId="52314045" w14:textId="77777777" w:rsidR="00963070" w:rsidRPr="00B72BD5" w:rsidRDefault="00963070" w:rsidP="00407190">
      <w:pPr>
        <w:pStyle w:val="ListParagraph"/>
        <w:numPr>
          <w:ilvl w:val="0"/>
          <w:numId w:val="9"/>
        </w:numPr>
        <w:spacing w:after="0" w:line="240" w:lineRule="auto"/>
        <w:ind w:firstLine="357"/>
        <w:rPr>
          <w:b/>
          <w:bCs/>
          <w:sz w:val="22"/>
          <w:lang w:val="en-ZA"/>
        </w:rPr>
      </w:pPr>
      <w:r w:rsidRPr="00B72BD5">
        <w:rPr>
          <w:sz w:val="22"/>
          <w:lang w:val="en-ZA"/>
        </w:rPr>
        <w:t xml:space="preserve">The realisation of human rights as a </w:t>
      </w:r>
      <w:r w:rsidRPr="00B72BD5">
        <w:rPr>
          <w:bCs/>
          <w:i/>
          <w:sz w:val="22"/>
          <w:lang w:val="en-ZA"/>
        </w:rPr>
        <w:t>precursor</w:t>
      </w:r>
      <w:r w:rsidRPr="00B72BD5">
        <w:rPr>
          <w:sz w:val="22"/>
          <w:lang w:val="en-ZA"/>
        </w:rPr>
        <w:t xml:space="preserve"> to the realisation of freedom, </w:t>
      </w:r>
      <w:proofErr w:type="gramStart"/>
      <w:r w:rsidRPr="00B72BD5">
        <w:rPr>
          <w:sz w:val="22"/>
          <w:lang w:val="en-ZA"/>
        </w:rPr>
        <w:t>justice</w:t>
      </w:r>
      <w:proofErr w:type="gramEnd"/>
      <w:r w:rsidRPr="00B72BD5">
        <w:rPr>
          <w:sz w:val="22"/>
          <w:lang w:val="en-ZA"/>
        </w:rPr>
        <w:t xml:space="preserve"> and peace.  </w:t>
      </w:r>
    </w:p>
    <w:p w14:paraId="467B7BC5" w14:textId="4CD3F764" w:rsidR="00963070" w:rsidRPr="00B72BD5" w:rsidRDefault="00963070" w:rsidP="00334B32">
      <w:pPr>
        <w:ind w:firstLine="357"/>
        <w:rPr>
          <w:sz w:val="22"/>
          <w:szCs w:val="22"/>
          <w:lang w:val="en-ZA"/>
        </w:rPr>
      </w:pPr>
      <w:r w:rsidRPr="00B72BD5">
        <w:rPr>
          <w:sz w:val="22"/>
          <w:szCs w:val="22"/>
          <w:lang w:val="en-ZA"/>
        </w:rPr>
        <w:t>Over the past 30 years, Namibia has made considerable gains: an independent judiciary is in place; governing ministries are aligned to core social and economic priorities; much work has been done to address inequities in access to public services. By 2009/10, the percentage of Namibians living below the national poverty line had halved, from 69.3% in 1993/94 to 28.7% in 2009/10</w:t>
      </w:r>
      <w:r w:rsidRPr="00B72BD5">
        <w:rPr>
          <w:sz w:val="22"/>
          <w:szCs w:val="22"/>
          <w:vertAlign w:val="superscript"/>
          <w:lang w:val="en-ZA"/>
        </w:rPr>
        <w:footnoteReference w:id="7"/>
      </w:r>
      <w:r w:rsidRPr="00B72BD5">
        <w:rPr>
          <w:sz w:val="22"/>
          <w:szCs w:val="22"/>
          <w:lang w:val="en-ZA"/>
        </w:rPr>
        <w:t>. By 2015/16 the figure was 17.4%.</w:t>
      </w:r>
      <w:r w:rsidRPr="00B72BD5">
        <w:rPr>
          <w:sz w:val="22"/>
          <w:szCs w:val="22"/>
          <w:vertAlign w:val="superscript"/>
          <w:lang w:val="en-ZA"/>
        </w:rPr>
        <w:footnoteReference w:id="8"/>
      </w:r>
      <w:r w:rsidRPr="00B72BD5">
        <w:rPr>
          <w:sz w:val="22"/>
          <w:szCs w:val="22"/>
          <w:lang w:val="en-ZA"/>
        </w:rPr>
        <w:t xml:space="preserve"> Economic growth over the past 30 years has moved the country into the ‘upper middle-income’ category (UN). New HIV infections have been reduced by 50% in the past five years (2012-2017) when compared with the UNAIDS 2012 estimates – and </w:t>
      </w:r>
      <w:r w:rsidR="00364FC3" w:rsidRPr="00B72BD5">
        <w:rPr>
          <w:sz w:val="22"/>
          <w:szCs w:val="22"/>
          <w:lang w:val="en-ZA"/>
        </w:rPr>
        <w:t>Namibia</w:t>
      </w:r>
      <w:r w:rsidRPr="00B72BD5">
        <w:rPr>
          <w:sz w:val="22"/>
          <w:szCs w:val="22"/>
          <w:lang w:val="en-ZA"/>
        </w:rPr>
        <w:t xml:space="preserve"> is on track to achieve the global UN 90-90-90 targets for adult women</w:t>
      </w:r>
      <w:r w:rsidRPr="00B72BD5">
        <w:rPr>
          <w:rStyle w:val="FootnoteReference"/>
          <w:sz w:val="22"/>
          <w:szCs w:val="22"/>
          <w:lang w:val="en-ZA"/>
        </w:rPr>
        <w:footnoteReference w:id="9"/>
      </w:r>
      <w:r w:rsidRPr="00B72BD5">
        <w:rPr>
          <w:sz w:val="22"/>
          <w:szCs w:val="22"/>
          <w:lang w:val="en-ZA"/>
        </w:rPr>
        <w:t>. Access to education has also increased dramatically: by 2015, 98.6% of children were accessing education.</w:t>
      </w:r>
    </w:p>
    <w:p w14:paraId="0A481334" w14:textId="43FD506E" w:rsidR="00963070" w:rsidRPr="00810460" w:rsidRDefault="00963070" w:rsidP="00334B32">
      <w:pPr>
        <w:ind w:firstLine="357"/>
        <w:rPr>
          <w:sz w:val="22"/>
          <w:szCs w:val="22"/>
          <w:lang w:val="en-ZA"/>
        </w:rPr>
      </w:pPr>
      <w:r w:rsidRPr="00810460">
        <w:rPr>
          <w:sz w:val="22"/>
          <w:szCs w:val="22"/>
          <w:lang w:val="en-ZA"/>
        </w:rPr>
        <w:t xml:space="preserve">However, the past </w:t>
      </w:r>
      <w:r w:rsidR="0074539C" w:rsidRPr="00810460">
        <w:rPr>
          <w:sz w:val="22"/>
          <w:szCs w:val="22"/>
          <w:lang w:val="en-ZA"/>
        </w:rPr>
        <w:t>5-</w:t>
      </w:r>
      <w:r w:rsidR="008A62CB" w:rsidRPr="00810460">
        <w:rPr>
          <w:sz w:val="22"/>
          <w:szCs w:val="22"/>
          <w:lang w:val="en-ZA"/>
        </w:rPr>
        <w:t>6 years</w:t>
      </w:r>
      <w:r w:rsidRPr="00810460">
        <w:rPr>
          <w:sz w:val="22"/>
          <w:szCs w:val="22"/>
          <w:lang w:val="en-ZA"/>
        </w:rPr>
        <w:t xml:space="preserve"> have </w:t>
      </w:r>
      <w:r w:rsidR="00EA0503" w:rsidRPr="00810460">
        <w:rPr>
          <w:sz w:val="22"/>
          <w:szCs w:val="22"/>
          <w:lang w:val="en-ZA"/>
        </w:rPr>
        <w:t xml:space="preserve">been </w:t>
      </w:r>
      <w:r w:rsidRPr="00810460">
        <w:rPr>
          <w:sz w:val="22"/>
          <w:szCs w:val="22"/>
          <w:lang w:val="en-ZA"/>
        </w:rPr>
        <w:t>characterised by economic crisis and contraction due to long term drought and shifts in regional and global markets</w:t>
      </w:r>
      <w:r w:rsidR="00BE6DB8" w:rsidRPr="00810460">
        <w:rPr>
          <w:sz w:val="22"/>
          <w:szCs w:val="22"/>
          <w:lang w:val="en-ZA"/>
        </w:rPr>
        <w:t>, amplified by Covid 19</w:t>
      </w:r>
      <w:r w:rsidRPr="00810460">
        <w:rPr>
          <w:sz w:val="22"/>
          <w:szCs w:val="22"/>
          <w:lang w:val="en-ZA"/>
        </w:rPr>
        <w:t xml:space="preserve"> – this is beginning to erode </w:t>
      </w:r>
      <w:r w:rsidRPr="00810460">
        <w:rPr>
          <w:sz w:val="22"/>
          <w:szCs w:val="22"/>
          <w:lang w:val="en-ZA"/>
        </w:rPr>
        <w:lastRenderedPageBreak/>
        <w:t>some past economic and social gains. Further, Namibia is still one of the most unequal countries in the world with a Gini coefficient of 0.591 (2015 figures) and a human development index of 0.645 (130/189 countries)</w:t>
      </w:r>
      <w:r w:rsidRPr="00810460">
        <w:rPr>
          <w:rStyle w:val="FootnoteReference"/>
          <w:sz w:val="22"/>
          <w:szCs w:val="22"/>
          <w:lang w:val="en-ZA"/>
        </w:rPr>
        <w:footnoteReference w:id="10"/>
      </w:r>
    </w:p>
    <w:p w14:paraId="743D1D88" w14:textId="77777777" w:rsidR="00963070" w:rsidRPr="00B72BD5" w:rsidRDefault="00963070" w:rsidP="00334B32">
      <w:pPr>
        <w:ind w:firstLine="357"/>
        <w:rPr>
          <w:sz w:val="22"/>
          <w:szCs w:val="22"/>
          <w:lang w:val="en-ZA"/>
        </w:rPr>
      </w:pPr>
      <w:r w:rsidRPr="00B72BD5">
        <w:rPr>
          <w:sz w:val="22"/>
          <w:szCs w:val="22"/>
          <w:lang w:val="en-ZA"/>
        </w:rPr>
        <w:t xml:space="preserve">In 2016, a national unemployment rate of 34% was recorded – given the current economic contraction, this is unlikely to have improved. 43.4% of younger people (aged 15-34 years) were unemployed; 12% more women than men. More than 70% of unemployed people had a junior-secondary education or less. </w:t>
      </w:r>
    </w:p>
    <w:p w14:paraId="67A2D09B" w14:textId="088EC226" w:rsidR="00963070" w:rsidRPr="00B72BD5" w:rsidRDefault="00963070" w:rsidP="00334B32">
      <w:pPr>
        <w:ind w:firstLine="357"/>
        <w:rPr>
          <w:sz w:val="22"/>
          <w:szCs w:val="22"/>
          <w:lang w:val="en-ZA"/>
        </w:rPr>
      </w:pPr>
      <w:r w:rsidRPr="00B72BD5">
        <w:rPr>
          <w:sz w:val="22"/>
          <w:szCs w:val="22"/>
          <w:lang w:val="en-ZA"/>
        </w:rPr>
        <w:t>The ruling party, SWAPO, has been in power for the thirty years since liberation, and LGBT+ issues are entirely absent from their manifesto. Anti-LGBT+ rhetoric and hate speech was once commonplace in the highest reaches of government (</w:t>
      </w:r>
      <w:proofErr w:type="gramStart"/>
      <w:r w:rsidRPr="00B72BD5">
        <w:rPr>
          <w:sz w:val="22"/>
          <w:szCs w:val="22"/>
          <w:lang w:val="en-ZA"/>
        </w:rPr>
        <w:t>e.g.</w:t>
      </w:r>
      <w:proofErr w:type="gramEnd"/>
      <w:r w:rsidRPr="00B72BD5">
        <w:rPr>
          <w:sz w:val="22"/>
          <w:szCs w:val="22"/>
          <w:lang w:val="en-ZA"/>
        </w:rPr>
        <w:t xml:space="preserve"> President Sam Nujoma, 1990-2005). In </w:t>
      </w:r>
      <w:r w:rsidR="00364FC3" w:rsidRPr="00B72BD5">
        <w:rPr>
          <w:sz w:val="22"/>
          <w:szCs w:val="22"/>
          <w:lang w:val="en-ZA"/>
        </w:rPr>
        <w:t>later</w:t>
      </w:r>
      <w:r w:rsidRPr="00B72BD5">
        <w:rPr>
          <w:sz w:val="22"/>
          <w:szCs w:val="22"/>
          <w:lang w:val="en-ZA"/>
        </w:rPr>
        <w:t xml:space="preserve"> years, silence has been a more common response. </w:t>
      </w:r>
    </w:p>
    <w:p w14:paraId="18E6654D" w14:textId="77777777" w:rsidR="00963070" w:rsidRPr="00B72BD5" w:rsidRDefault="00963070" w:rsidP="00334B32">
      <w:pPr>
        <w:ind w:firstLine="357"/>
        <w:rPr>
          <w:sz w:val="22"/>
          <w:szCs w:val="22"/>
          <w:lang w:val="en-ZA"/>
        </w:rPr>
      </w:pPr>
      <w:r w:rsidRPr="00B72BD5">
        <w:rPr>
          <w:sz w:val="22"/>
          <w:szCs w:val="22"/>
          <w:lang w:val="en-ZA"/>
        </w:rPr>
        <w:t>Gender-based violence is high. A 2013 demographic health survey</w:t>
      </w:r>
      <w:r w:rsidRPr="00B72BD5">
        <w:rPr>
          <w:sz w:val="22"/>
          <w:szCs w:val="22"/>
          <w:vertAlign w:val="superscript"/>
          <w:lang w:val="en-ZA"/>
        </w:rPr>
        <w:footnoteReference w:id="11"/>
      </w:r>
      <w:r w:rsidRPr="00B72BD5">
        <w:rPr>
          <w:sz w:val="22"/>
          <w:szCs w:val="22"/>
          <w:lang w:val="en-ZA"/>
        </w:rPr>
        <w:t xml:space="preserve"> showed that one in four young women had experienced intimate partner violence. The same study found that 28.2% of female respondents (aged 15 to 49) believed it was justifiable for a man to beat his wife. Interestingly, this figure is higher than that for male respondents (21.9%). </w:t>
      </w:r>
    </w:p>
    <w:p w14:paraId="59C8FA70" w14:textId="77777777" w:rsidR="00963070" w:rsidRPr="00B72BD5" w:rsidRDefault="00963070" w:rsidP="00334B32">
      <w:pPr>
        <w:ind w:firstLine="357"/>
        <w:rPr>
          <w:sz w:val="22"/>
          <w:szCs w:val="22"/>
          <w:lang w:val="en-ZA"/>
        </w:rPr>
      </w:pPr>
      <w:r w:rsidRPr="00B72BD5">
        <w:rPr>
          <w:sz w:val="22"/>
          <w:szCs w:val="22"/>
          <w:lang w:val="en-ZA"/>
        </w:rPr>
        <w:t xml:space="preserve">Laws criminalizing LGBT+ sexual practices remain in the penal code, although there is a moratorium on the enforcement of the Sodomy Law. Mention of SOGIE is absent from most policy and law </w:t>
      </w:r>
      <w:proofErr w:type="gramStart"/>
      <w:r w:rsidRPr="00B72BD5">
        <w:rPr>
          <w:sz w:val="22"/>
          <w:szCs w:val="22"/>
          <w:lang w:val="en-ZA"/>
        </w:rPr>
        <w:t>with the exception of</w:t>
      </w:r>
      <w:proofErr w:type="gramEnd"/>
      <w:r w:rsidRPr="00B72BD5">
        <w:rPr>
          <w:sz w:val="22"/>
          <w:szCs w:val="22"/>
          <w:lang w:val="en-ZA"/>
        </w:rPr>
        <w:t xml:space="preserve"> the HIV space (where ‘key populations’ are included), and some references in Education policy. </w:t>
      </w:r>
    </w:p>
    <w:p w14:paraId="0E3C6EC3" w14:textId="109683B0" w:rsidR="00963070" w:rsidRPr="00B72BD5" w:rsidRDefault="00963070" w:rsidP="00334B32">
      <w:pPr>
        <w:ind w:firstLine="357"/>
        <w:rPr>
          <w:sz w:val="22"/>
          <w:szCs w:val="22"/>
          <w:lang w:val="en-ZA"/>
        </w:rPr>
      </w:pPr>
      <w:r w:rsidRPr="00B72BD5">
        <w:rPr>
          <w:sz w:val="22"/>
          <w:szCs w:val="22"/>
          <w:lang w:val="en-ZA"/>
        </w:rPr>
        <w:t>Attitudes at community level tend to be conservative</w:t>
      </w:r>
      <w:r w:rsidR="00AE5D89">
        <w:rPr>
          <w:sz w:val="22"/>
          <w:szCs w:val="22"/>
          <w:lang w:val="en-ZA"/>
        </w:rPr>
        <w:t xml:space="preserve"> although there are signif</w:t>
      </w:r>
      <w:r w:rsidR="007D4AC2">
        <w:rPr>
          <w:sz w:val="22"/>
          <w:szCs w:val="22"/>
          <w:lang w:val="en-ZA"/>
        </w:rPr>
        <w:t>icant variations across the different population groups</w:t>
      </w:r>
      <w:r w:rsidR="002B3E3B">
        <w:rPr>
          <w:sz w:val="22"/>
          <w:szCs w:val="22"/>
          <w:lang w:val="en-ZA"/>
        </w:rPr>
        <w:t xml:space="preserve"> and between towns and countryside</w:t>
      </w:r>
      <w:r w:rsidRPr="00B72BD5">
        <w:rPr>
          <w:sz w:val="22"/>
          <w:szCs w:val="22"/>
          <w:lang w:val="en-ZA"/>
        </w:rPr>
        <w:t xml:space="preserve">. Compliance with prescribed gender and social roles is valued; deviation is often punished (sometimes violently) and rejected. Social and mainstream media </w:t>
      </w:r>
      <w:r w:rsidR="00B7575A">
        <w:rPr>
          <w:sz w:val="22"/>
          <w:szCs w:val="22"/>
          <w:lang w:val="en-ZA"/>
        </w:rPr>
        <w:t xml:space="preserve">mostly </w:t>
      </w:r>
      <w:r w:rsidRPr="00B72BD5">
        <w:rPr>
          <w:sz w:val="22"/>
          <w:szCs w:val="22"/>
          <w:lang w:val="en-ZA"/>
        </w:rPr>
        <w:t xml:space="preserve">reflect </w:t>
      </w:r>
      <w:r w:rsidR="001D557A" w:rsidRPr="00B72BD5">
        <w:rPr>
          <w:sz w:val="22"/>
          <w:szCs w:val="22"/>
          <w:lang w:val="en-ZA"/>
        </w:rPr>
        <w:t>negative</w:t>
      </w:r>
      <w:r w:rsidRPr="00B72BD5">
        <w:rPr>
          <w:sz w:val="22"/>
          <w:szCs w:val="22"/>
          <w:lang w:val="en-ZA"/>
        </w:rPr>
        <w:t xml:space="preserve"> public attitudes to LGBT+ people, and at the extremes, they are blamed for phenomena such as drought, as well as the more usual ‘moral decay’. Like most of post-colonial Southern Africa, Namibia is, at root, a patriarchal society. An ideal of African, cisgender, heterosexual manhood is the centre around which all other sanctioned social roles revolve.</w:t>
      </w:r>
    </w:p>
    <w:p w14:paraId="3F71DAAC" w14:textId="77777777" w:rsidR="00963070" w:rsidRPr="00B72BD5" w:rsidRDefault="00963070" w:rsidP="00334B32">
      <w:pPr>
        <w:ind w:firstLine="357"/>
        <w:rPr>
          <w:sz w:val="22"/>
          <w:szCs w:val="22"/>
          <w:lang w:val="en-ZA"/>
        </w:rPr>
      </w:pPr>
      <w:r w:rsidRPr="00B72BD5">
        <w:rPr>
          <w:sz w:val="22"/>
          <w:szCs w:val="22"/>
          <w:lang w:val="en-ZA"/>
        </w:rPr>
        <w:t xml:space="preserve">Namibian civil society is not especially strong, and the gradual withdrawal of donor funding (due to upper middle-income status) has been a challenge for many organisations.  However, over the past decade new national and local organisations focusing on women, </w:t>
      </w:r>
      <w:proofErr w:type="gramStart"/>
      <w:r w:rsidRPr="00B72BD5">
        <w:rPr>
          <w:sz w:val="22"/>
          <w:szCs w:val="22"/>
          <w:lang w:val="en-ZA"/>
        </w:rPr>
        <w:t>girls</w:t>
      </w:r>
      <w:proofErr w:type="gramEnd"/>
      <w:r w:rsidRPr="00B72BD5">
        <w:rPr>
          <w:sz w:val="22"/>
          <w:szCs w:val="22"/>
          <w:lang w:val="en-ZA"/>
        </w:rPr>
        <w:t xml:space="preserve"> and LGBT+ have emerged and been significantly strengthened (in part through PV’s work in the LGBT+ space) and there are numerous community level self-help groups of PLHIV, and increasingly, of LGBT+, AGYW, and sex workers.</w:t>
      </w:r>
    </w:p>
    <w:p w14:paraId="0DDEDC4B" w14:textId="77777777" w:rsidR="00963070" w:rsidRPr="00B72BD5" w:rsidRDefault="00963070" w:rsidP="00334B32">
      <w:pPr>
        <w:ind w:firstLine="357"/>
        <w:rPr>
          <w:sz w:val="22"/>
          <w:szCs w:val="22"/>
          <w:lang w:val="en-ZA"/>
        </w:rPr>
      </w:pPr>
      <w:r w:rsidRPr="00B72BD5">
        <w:rPr>
          <w:sz w:val="22"/>
          <w:szCs w:val="22"/>
          <w:lang w:val="en-ZA"/>
        </w:rPr>
        <w:t xml:space="preserve">In terms of attitudes towards LGBT+ at national level there are signs of increasing openness: </w:t>
      </w:r>
    </w:p>
    <w:p w14:paraId="39B5DAA0" w14:textId="77777777" w:rsidR="00963070" w:rsidRPr="00B72BD5" w:rsidRDefault="00963070" w:rsidP="00407190">
      <w:pPr>
        <w:pStyle w:val="ListParagraph"/>
        <w:numPr>
          <w:ilvl w:val="0"/>
          <w:numId w:val="21"/>
        </w:numPr>
        <w:rPr>
          <w:sz w:val="22"/>
          <w:lang w:val="en-ZA"/>
        </w:rPr>
      </w:pPr>
      <w:r w:rsidRPr="00B72BD5">
        <w:rPr>
          <w:sz w:val="22"/>
          <w:lang w:val="en-ZA"/>
        </w:rPr>
        <w:t xml:space="preserve">Namibia’s First Lady is a key ally and supporter of LGBT+ causes and the sponsor of the #BeFree </w:t>
      </w:r>
      <w:proofErr w:type="gramStart"/>
      <w:r w:rsidRPr="00B72BD5">
        <w:rPr>
          <w:sz w:val="22"/>
          <w:lang w:val="en-ZA"/>
        </w:rPr>
        <w:t>campaign;</w:t>
      </w:r>
      <w:proofErr w:type="gramEnd"/>
    </w:p>
    <w:p w14:paraId="24E6DA31" w14:textId="77777777" w:rsidR="00963070" w:rsidRPr="00B72BD5" w:rsidRDefault="00963070" w:rsidP="00407190">
      <w:pPr>
        <w:pStyle w:val="ListParagraph"/>
        <w:numPr>
          <w:ilvl w:val="0"/>
          <w:numId w:val="21"/>
        </w:numPr>
        <w:rPr>
          <w:sz w:val="22"/>
          <w:lang w:val="en-ZA"/>
        </w:rPr>
      </w:pPr>
      <w:r w:rsidRPr="00B72BD5">
        <w:rPr>
          <w:sz w:val="22"/>
          <w:lang w:val="en-ZA"/>
        </w:rPr>
        <w:t xml:space="preserve">the Ministry of Health and Social Services has taken significant steps to address LGBT+ and AGYW via the National Strategic Framework for HIV prevention and has worked closely with PV around </w:t>
      </w:r>
      <w:proofErr w:type="gramStart"/>
      <w:r w:rsidRPr="00B72BD5">
        <w:rPr>
          <w:sz w:val="22"/>
          <w:lang w:val="en-ZA"/>
        </w:rPr>
        <w:t>this;</w:t>
      </w:r>
      <w:proofErr w:type="gramEnd"/>
    </w:p>
    <w:p w14:paraId="474D4D89" w14:textId="511B59F0" w:rsidR="00963070" w:rsidRPr="00810460" w:rsidRDefault="00963070" w:rsidP="00407190">
      <w:pPr>
        <w:pStyle w:val="ListParagraph"/>
        <w:numPr>
          <w:ilvl w:val="0"/>
          <w:numId w:val="21"/>
        </w:numPr>
        <w:rPr>
          <w:sz w:val="22"/>
          <w:lang w:val="en-ZA"/>
        </w:rPr>
      </w:pPr>
      <w:r w:rsidRPr="00B72BD5">
        <w:rPr>
          <w:sz w:val="22"/>
          <w:lang w:val="en-ZA"/>
        </w:rPr>
        <w:t>the Minister of Education has supported work to improve Comprehensive Sexuality Education (CSE).</w:t>
      </w:r>
      <w:r w:rsidR="00883CD6">
        <w:rPr>
          <w:sz w:val="22"/>
          <w:lang w:val="en-ZA"/>
        </w:rPr>
        <w:t xml:space="preserve"> </w:t>
      </w:r>
      <w:r w:rsidR="00883CD6" w:rsidRPr="00810460">
        <w:rPr>
          <w:sz w:val="22"/>
          <w:lang w:val="en-ZA"/>
        </w:rPr>
        <w:t>During 2020, the Ministry petitioned the Ministry of Foreign Relations decision to suspend Namibia</w:t>
      </w:r>
      <w:r w:rsidR="00EA0503" w:rsidRPr="00810460">
        <w:rPr>
          <w:sz w:val="22"/>
          <w:lang w:val="en-ZA"/>
        </w:rPr>
        <w:t>’s Eastern and Southern Africa (</w:t>
      </w:r>
      <w:r w:rsidR="00883CD6" w:rsidRPr="00810460">
        <w:rPr>
          <w:sz w:val="22"/>
          <w:lang w:val="en-ZA"/>
        </w:rPr>
        <w:t>ESA</w:t>
      </w:r>
      <w:r w:rsidR="00EA0503" w:rsidRPr="00810460">
        <w:rPr>
          <w:sz w:val="22"/>
          <w:lang w:val="en-ZA"/>
        </w:rPr>
        <w:t>)</w:t>
      </w:r>
      <w:r w:rsidR="00883CD6" w:rsidRPr="00810460">
        <w:rPr>
          <w:sz w:val="22"/>
          <w:lang w:val="en-ZA"/>
        </w:rPr>
        <w:t xml:space="preserve"> </w:t>
      </w:r>
      <w:r w:rsidR="00EA0503" w:rsidRPr="00810460">
        <w:rPr>
          <w:sz w:val="22"/>
          <w:lang w:val="en-ZA"/>
        </w:rPr>
        <w:t>C</w:t>
      </w:r>
      <w:r w:rsidR="00883CD6" w:rsidRPr="00810460">
        <w:rPr>
          <w:sz w:val="22"/>
          <w:lang w:val="en-ZA"/>
        </w:rPr>
        <w:t>ommitment</w:t>
      </w:r>
      <w:r w:rsidR="00EA0503" w:rsidRPr="00810460">
        <w:rPr>
          <w:sz w:val="22"/>
          <w:lang w:val="en-ZA"/>
        </w:rPr>
        <w:t xml:space="preserve"> on sexuality education and sexual and reproductive health service for adolescents and young people.</w:t>
      </w:r>
      <w:r w:rsidR="00883CD6" w:rsidRPr="00810460">
        <w:rPr>
          <w:sz w:val="22"/>
          <w:lang w:val="en-ZA"/>
        </w:rPr>
        <w:t xml:space="preserve"> These commitments were renewed in 2020. </w:t>
      </w:r>
    </w:p>
    <w:p w14:paraId="4D423D80" w14:textId="0B017312" w:rsidR="00E73ACA" w:rsidRDefault="00E73ACA" w:rsidP="00407190">
      <w:pPr>
        <w:pStyle w:val="ListParagraph"/>
        <w:numPr>
          <w:ilvl w:val="0"/>
          <w:numId w:val="21"/>
        </w:numPr>
        <w:rPr>
          <w:sz w:val="22"/>
          <w:lang w:val="en-ZA"/>
        </w:rPr>
      </w:pPr>
      <w:r w:rsidRPr="00810460">
        <w:rPr>
          <w:sz w:val="22"/>
          <w:lang w:val="en-ZA"/>
        </w:rPr>
        <w:t>The Minister of Justice also tabled the repeal of the sodomy and unnatural sexual offenses report to cabinet for review in May 2021.</w:t>
      </w:r>
      <w:r w:rsidR="00883CD6" w:rsidRPr="00810460">
        <w:rPr>
          <w:sz w:val="22"/>
          <w:lang w:val="en-ZA"/>
        </w:rPr>
        <w:t xml:space="preserve"> PV with Namibian CSOs developed a submission to support the </w:t>
      </w:r>
      <w:r w:rsidR="00EA0503" w:rsidRPr="00810460">
        <w:rPr>
          <w:sz w:val="22"/>
          <w:lang w:val="en-ZA"/>
        </w:rPr>
        <w:t>Law Reform and Development Commission (</w:t>
      </w:r>
      <w:r w:rsidR="002E6A1B" w:rsidRPr="00810460">
        <w:rPr>
          <w:sz w:val="22"/>
          <w:lang w:val="en-ZA"/>
        </w:rPr>
        <w:t>LRDC) proposal</w:t>
      </w:r>
      <w:r w:rsidR="00EA0503" w:rsidRPr="00810460">
        <w:rPr>
          <w:sz w:val="22"/>
          <w:lang w:val="en-ZA"/>
        </w:rPr>
        <w:t xml:space="preserve"> </w:t>
      </w:r>
      <w:r w:rsidR="00883CD6" w:rsidRPr="00810460">
        <w:rPr>
          <w:sz w:val="22"/>
          <w:lang w:val="en-ZA"/>
        </w:rPr>
        <w:t xml:space="preserve">to remove sodomy </w:t>
      </w:r>
      <w:r w:rsidR="00883CD6" w:rsidRPr="00810460">
        <w:rPr>
          <w:sz w:val="22"/>
          <w:lang w:val="en-ZA"/>
        </w:rPr>
        <w:lastRenderedPageBreak/>
        <w:t xml:space="preserve">and other acts. sexual offense and other obsolete laws identified during community consultations </w:t>
      </w:r>
      <w:r w:rsidR="001E7AE8">
        <w:rPr>
          <w:sz w:val="22"/>
          <w:lang w:val="en-ZA"/>
        </w:rPr>
        <w:t>i</w:t>
      </w:r>
      <w:r w:rsidR="00883CD6" w:rsidRPr="00810460">
        <w:rPr>
          <w:sz w:val="22"/>
          <w:lang w:val="en-ZA"/>
        </w:rPr>
        <w:t xml:space="preserve">n 2020. However, follow-up submissions from </w:t>
      </w:r>
      <w:r w:rsidR="00773D2B" w:rsidRPr="00810460">
        <w:rPr>
          <w:sz w:val="22"/>
          <w:lang w:val="en-ZA"/>
        </w:rPr>
        <w:t xml:space="preserve">the </w:t>
      </w:r>
      <w:proofErr w:type="gramStart"/>
      <w:r w:rsidR="00883CD6" w:rsidRPr="00810460">
        <w:rPr>
          <w:sz w:val="22"/>
          <w:lang w:val="en-ZA"/>
        </w:rPr>
        <w:t>Religious</w:t>
      </w:r>
      <w:proofErr w:type="gramEnd"/>
      <w:r w:rsidR="00883CD6" w:rsidRPr="00810460">
        <w:rPr>
          <w:sz w:val="22"/>
          <w:lang w:val="en-ZA"/>
        </w:rPr>
        <w:t xml:space="preserve"> fraternity has put this conversation on hold.</w:t>
      </w:r>
    </w:p>
    <w:p w14:paraId="237131AD" w14:textId="6997B24C" w:rsidR="00810C52" w:rsidRPr="00ED69F2" w:rsidRDefault="00810C52" w:rsidP="00810C52">
      <w:pPr>
        <w:pStyle w:val="ListParagraph"/>
        <w:numPr>
          <w:ilvl w:val="0"/>
          <w:numId w:val="21"/>
        </w:numPr>
        <w:rPr>
          <w:sz w:val="22"/>
          <w:lang w:val="en-ZA"/>
        </w:rPr>
      </w:pPr>
      <w:r w:rsidRPr="00ED69F2">
        <w:rPr>
          <w:sz w:val="22"/>
          <w:lang w:val="en-ZA"/>
        </w:rPr>
        <w:t xml:space="preserve">Some positive case law has also been established in Namibia in 2021 and early 2022. The most recent of these was the high court’s ruling on 20 January 2022. Two same sex couples launched a consolidated application </w:t>
      </w:r>
      <w:r w:rsidR="00254180">
        <w:rPr>
          <w:sz w:val="22"/>
          <w:lang w:val="en-ZA"/>
        </w:rPr>
        <w:t>for the court to recognize their foreign marriages</w:t>
      </w:r>
      <w:r w:rsidR="00F2641C">
        <w:rPr>
          <w:sz w:val="22"/>
          <w:lang w:val="en-ZA"/>
        </w:rPr>
        <w:t>.</w:t>
      </w:r>
      <w:r w:rsidRPr="00ED69F2">
        <w:rPr>
          <w:sz w:val="22"/>
          <w:lang w:val="en-ZA"/>
        </w:rPr>
        <w:t xml:space="preserve"> While the court held</w:t>
      </w:r>
      <w:r w:rsidR="00E97A4D">
        <w:rPr>
          <w:sz w:val="22"/>
          <w:lang w:val="en-ZA"/>
        </w:rPr>
        <w:t xml:space="preserve"> that it could not overrule</w:t>
      </w:r>
      <w:r w:rsidRPr="00ED69F2">
        <w:rPr>
          <w:sz w:val="22"/>
          <w:lang w:val="en-ZA"/>
        </w:rPr>
        <w:t xml:space="preserve"> the supreme court’s rulings and previous case law set, </w:t>
      </w:r>
      <w:r w:rsidR="00513AC0">
        <w:rPr>
          <w:sz w:val="22"/>
          <w:lang w:val="en-ZA"/>
        </w:rPr>
        <w:t xml:space="preserve">the </w:t>
      </w:r>
      <w:r w:rsidRPr="00ED69F2">
        <w:rPr>
          <w:sz w:val="22"/>
          <w:lang w:val="en-ZA"/>
        </w:rPr>
        <w:t xml:space="preserve">court also held that </w:t>
      </w:r>
      <w:r w:rsidRPr="000D3617">
        <w:rPr>
          <w:i/>
          <w:iCs/>
          <w:sz w:val="22"/>
          <w:lang w:val="en-ZA"/>
        </w:rPr>
        <w:t xml:space="preserve">“the interpretation by the Supreme Court of articles 8, 10 and 14 was narrow, outdated and couched in tabulated legalism; </w:t>
      </w:r>
      <w:r w:rsidR="00E97A4D" w:rsidRPr="000D3617">
        <w:rPr>
          <w:i/>
          <w:iCs/>
          <w:sz w:val="22"/>
          <w:lang w:val="en-ZA"/>
        </w:rPr>
        <w:t>those homosexual relationships</w:t>
      </w:r>
      <w:r w:rsidRPr="000D3617">
        <w:rPr>
          <w:i/>
          <w:iCs/>
          <w:sz w:val="22"/>
          <w:lang w:val="en-ZA"/>
        </w:rPr>
        <w:t xml:space="preserve"> are without doubt, globally recognised, and increasingly more countries have changed their laws to recognise one’s right not to be discriminated against on the basis of one’s sexual orientation. It is time to recognise that homosexuality is part and parcel of the fabric of our society and that persons- human beings-  in homosexual relationships are worthy of being afforded the same rights as other citizens; that the Supreme Court’s interpretation of the international law was wrong; and that in a functioning democracy, founded on a history such as our own, coming from a system of unreasonable and irrational discrimination, to obtain freedom and independence, and then to continue to irrationally and unjustifiably take away human rights of another segment of Namibian citizenry, simply because of their orientation - amounted to cherry-picking of human rights, and deciding whose rights are more “human”, and to be protected, more than others.  This is not what our democracy was founded upon.”</w:t>
      </w:r>
      <w:r w:rsidRPr="00143486">
        <w:rPr>
          <w:rStyle w:val="FootnoteReference"/>
          <w:sz w:val="22"/>
          <w:lang w:val="en-ZA"/>
        </w:rPr>
        <w:t xml:space="preserve"> </w:t>
      </w:r>
      <w:r>
        <w:rPr>
          <w:sz w:val="22"/>
          <w:lang w:val="en-ZA"/>
        </w:rPr>
        <w:t xml:space="preserve">This </w:t>
      </w:r>
      <w:r w:rsidR="004760F2" w:rsidRPr="00A37110">
        <w:rPr>
          <w:b/>
          <w:bCs/>
          <w:sz w:val="22"/>
          <w:lang w:val="en-ZA"/>
        </w:rPr>
        <w:t xml:space="preserve">unanimous </w:t>
      </w:r>
      <w:r w:rsidRPr="00A37110">
        <w:rPr>
          <w:b/>
          <w:bCs/>
          <w:sz w:val="22"/>
          <w:lang w:val="en-ZA"/>
        </w:rPr>
        <w:t>ruling</w:t>
      </w:r>
      <w:r w:rsidR="00513AC0" w:rsidRPr="00A37110">
        <w:rPr>
          <w:b/>
          <w:bCs/>
          <w:sz w:val="22"/>
          <w:lang w:val="en-ZA"/>
        </w:rPr>
        <w:t xml:space="preserve"> of the full bench of the High Court</w:t>
      </w:r>
      <w:r w:rsidR="00513AC0">
        <w:rPr>
          <w:sz w:val="22"/>
          <w:lang w:val="en-ZA"/>
        </w:rPr>
        <w:t xml:space="preserve"> while not immediately changing </w:t>
      </w:r>
      <w:r w:rsidR="001B5F8A">
        <w:rPr>
          <w:sz w:val="22"/>
          <w:lang w:val="en-ZA"/>
        </w:rPr>
        <w:t xml:space="preserve">the law </w:t>
      </w:r>
      <w:r>
        <w:rPr>
          <w:sz w:val="22"/>
          <w:lang w:val="en-ZA"/>
        </w:rPr>
        <w:t>amplif</w:t>
      </w:r>
      <w:r w:rsidR="002114E6">
        <w:rPr>
          <w:sz w:val="22"/>
          <w:lang w:val="en-ZA"/>
        </w:rPr>
        <w:t>ies</w:t>
      </w:r>
      <w:r>
        <w:rPr>
          <w:sz w:val="22"/>
          <w:lang w:val="en-ZA"/>
        </w:rPr>
        <w:t xml:space="preserve"> the need for the Namibian court system, specifically our Supreme Court to be more ambitious in realising the rights of sexual and gender minorities within our court system.</w:t>
      </w:r>
    </w:p>
    <w:p w14:paraId="7BA46266" w14:textId="3A82BD22" w:rsidR="00963070" w:rsidRPr="00B72BD5" w:rsidRDefault="00963070" w:rsidP="00334B32">
      <w:pPr>
        <w:ind w:firstLine="357"/>
        <w:rPr>
          <w:sz w:val="22"/>
          <w:szCs w:val="22"/>
          <w:lang w:val="en-ZA"/>
        </w:rPr>
      </w:pPr>
      <w:r w:rsidRPr="00B72BD5">
        <w:rPr>
          <w:sz w:val="22"/>
          <w:szCs w:val="22"/>
          <w:lang w:val="en-ZA"/>
        </w:rPr>
        <w:t xml:space="preserve">There is </w:t>
      </w:r>
      <w:r w:rsidR="008D720F">
        <w:rPr>
          <w:sz w:val="22"/>
          <w:szCs w:val="22"/>
          <w:lang w:val="en-ZA"/>
        </w:rPr>
        <w:t>a</w:t>
      </w:r>
      <w:r w:rsidRPr="00B72BD5">
        <w:rPr>
          <w:sz w:val="22"/>
          <w:szCs w:val="22"/>
          <w:lang w:val="en-ZA"/>
        </w:rPr>
        <w:t xml:space="preserve"> strong rhetoric and some positive action around issues such as sexual and gender-based </w:t>
      </w:r>
      <w:r w:rsidR="00F07591" w:rsidRPr="00B72BD5">
        <w:rPr>
          <w:sz w:val="22"/>
          <w:szCs w:val="22"/>
          <w:lang w:val="en-ZA"/>
        </w:rPr>
        <w:t>violence, including the establishment of GBV units and national campaigns. A strong focus on AGYW as a priority group has arisen from both global and national analyses – even if much of this work positions AGYW as service-recipients, or ‘objects of intervention’, rather than agents of change, and subjects of their own development</w:t>
      </w:r>
      <w:r w:rsidR="00F07591">
        <w:rPr>
          <w:sz w:val="22"/>
          <w:szCs w:val="22"/>
          <w:lang w:val="en-ZA"/>
        </w:rPr>
        <w:t xml:space="preserve"> which is the basic premise of our intervention</w:t>
      </w:r>
      <w:r w:rsidR="00F07591" w:rsidRPr="00B72BD5">
        <w:rPr>
          <w:sz w:val="22"/>
          <w:szCs w:val="22"/>
          <w:lang w:val="en-ZA"/>
        </w:rPr>
        <w:t>.</w:t>
      </w:r>
    </w:p>
    <w:p w14:paraId="60D171EE" w14:textId="5AAD6E88" w:rsidR="007952D7" w:rsidRPr="007952D7" w:rsidRDefault="007952D7" w:rsidP="00812C61">
      <w:pPr>
        <w:ind w:firstLine="357"/>
        <w:rPr>
          <w:sz w:val="22"/>
          <w:szCs w:val="22"/>
          <w:lang w:val="en-ZA"/>
        </w:rPr>
      </w:pPr>
      <w:r w:rsidRPr="007952D7">
        <w:rPr>
          <w:sz w:val="22"/>
          <w:szCs w:val="22"/>
          <w:lang w:val="en-ZA"/>
        </w:rPr>
        <w:t>The National Assembly’s standing committee on gender</w:t>
      </w:r>
      <w:r w:rsidR="00CA1AFF">
        <w:rPr>
          <w:sz w:val="22"/>
          <w:szCs w:val="22"/>
          <w:lang w:val="en-ZA"/>
        </w:rPr>
        <w:t xml:space="preserve"> recently</w:t>
      </w:r>
      <w:r w:rsidRPr="007952D7">
        <w:rPr>
          <w:sz w:val="22"/>
          <w:szCs w:val="22"/>
          <w:lang w:val="en-ZA"/>
        </w:rPr>
        <w:t xml:space="preserve"> spearheaded national and subregional conversations on the Namibian Abortion and Sterilisation act of 1975. These hearings demonstrate National Assembly’s willing and openness to have consultative, </w:t>
      </w:r>
      <w:r w:rsidR="00683B8C" w:rsidRPr="007952D7">
        <w:rPr>
          <w:sz w:val="22"/>
          <w:szCs w:val="22"/>
          <w:lang w:val="en-ZA"/>
        </w:rPr>
        <w:t>evidence-based</w:t>
      </w:r>
      <w:r w:rsidRPr="007952D7">
        <w:rPr>
          <w:sz w:val="22"/>
          <w:szCs w:val="22"/>
          <w:lang w:val="en-ZA"/>
        </w:rPr>
        <w:t xml:space="preserve"> processes on legal reform. </w:t>
      </w:r>
    </w:p>
    <w:p w14:paraId="6C5FD6E4" w14:textId="4D1EAE8A" w:rsidR="00963070" w:rsidRDefault="00963070" w:rsidP="00334B32">
      <w:pPr>
        <w:ind w:firstLine="357"/>
        <w:rPr>
          <w:sz w:val="22"/>
          <w:szCs w:val="22"/>
          <w:lang w:val="en-ZA"/>
        </w:rPr>
      </w:pPr>
      <w:r w:rsidRPr="00B72BD5">
        <w:rPr>
          <w:sz w:val="22"/>
          <w:szCs w:val="22"/>
          <w:lang w:val="en-ZA"/>
        </w:rPr>
        <w:t xml:space="preserve">Namibia is a unique society in several respects. There is a culture of government-civil society consultation – and a degree of openness on the part of the state to citizen and CSO voices. It is also a relatively small society. With a population of just over 2.5 million there is no great distance between people on the ground and those in positions of structural power; it is relatively easy to access people and places of influence. For this reason, and because of PV’s strong position in-country, it is eminently possible to work effectively both at local and national level and make an impact on both. This is also why PV has tended to pilot new approaches and methods in Namibia. </w:t>
      </w:r>
    </w:p>
    <w:p w14:paraId="33C3E223" w14:textId="77777777" w:rsidR="00963070" w:rsidRPr="00B72BD5" w:rsidRDefault="00963070" w:rsidP="00334B32">
      <w:pPr>
        <w:ind w:firstLine="357"/>
        <w:rPr>
          <w:sz w:val="22"/>
          <w:szCs w:val="22"/>
          <w:lang w:val="en-ZA"/>
        </w:rPr>
      </w:pPr>
      <w:r w:rsidRPr="00B72BD5">
        <w:rPr>
          <w:sz w:val="22"/>
          <w:szCs w:val="22"/>
          <w:lang w:val="en-ZA"/>
        </w:rPr>
        <w:t xml:space="preserve">These factors make Namibia an ideal ground for the proposed intervention. Many social problems exist; the plight of marginalized youth is dire; and there are significant policy gaps. But the potential for significant impact is also high – there are relatively strong institutions, rule of law, reasonable political and economic stability, existing shifts in gender dynamics, and a fairly strong foundation for implementing effective interventions at community and national levels. </w:t>
      </w:r>
    </w:p>
    <w:p w14:paraId="7CC7358C" w14:textId="46280BF6" w:rsidR="00963070" w:rsidRPr="00B72BD5" w:rsidRDefault="00963070" w:rsidP="00334B32">
      <w:pPr>
        <w:ind w:firstLine="357"/>
        <w:rPr>
          <w:sz w:val="22"/>
          <w:szCs w:val="22"/>
          <w:lang w:val="en-ZA"/>
        </w:rPr>
      </w:pPr>
      <w:r w:rsidRPr="00B72BD5">
        <w:rPr>
          <w:sz w:val="22"/>
          <w:szCs w:val="22"/>
          <w:lang w:val="en-ZA"/>
        </w:rPr>
        <w:lastRenderedPageBreak/>
        <w:t xml:space="preserve">While above description speaks to Namibia as a whole, there are significant differences between different local communities due to cultural, </w:t>
      </w:r>
      <w:r w:rsidR="002D32AE" w:rsidRPr="00B72BD5">
        <w:rPr>
          <w:sz w:val="22"/>
          <w:szCs w:val="22"/>
          <w:lang w:val="en-ZA"/>
        </w:rPr>
        <w:t>ethnic,</w:t>
      </w:r>
      <w:r w:rsidRPr="00B72BD5">
        <w:rPr>
          <w:sz w:val="22"/>
          <w:szCs w:val="22"/>
          <w:lang w:val="en-ZA"/>
        </w:rPr>
        <w:t xml:space="preserve"> and economic differences</w:t>
      </w:r>
      <w:r w:rsidRPr="0068275F">
        <w:rPr>
          <w:sz w:val="22"/>
          <w:szCs w:val="22"/>
          <w:lang w:val="en-ZA"/>
        </w:rPr>
        <w:t>. A more detailed description of the targeted communit</w:t>
      </w:r>
      <w:r w:rsidR="0068275F" w:rsidRPr="0068275F">
        <w:rPr>
          <w:sz w:val="22"/>
          <w:szCs w:val="22"/>
          <w:lang w:val="en-ZA"/>
        </w:rPr>
        <w:t xml:space="preserve">ies </w:t>
      </w:r>
      <w:r w:rsidR="00926492" w:rsidRPr="0068275F">
        <w:rPr>
          <w:sz w:val="22"/>
          <w:szCs w:val="22"/>
          <w:lang w:val="en-ZA"/>
        </w:rPr>
        <w:t>is</w:t>
      </w:r>
      <w:r w:rsidRPr="0068275F">
        <w:rPr>
          <w:sz w:val="22"/>
          <w:szCs w:val="22"/>
          <w:lang w:val="en-ZA"/>
        </w:rPr>
        <w:t xml:space="preserve"> included in Section 3.</w:t>
      </w:r>
    </w:p>
    <w:p w14:paraId="015E3E17" w14:textId="65884734" w:rsidR="00963070" w:rsidRPr="00B72BD5" w:rsidRDefault="00403512" w:rsidP="00334B32">
      <w:pPr>
        <w:ind w:firstLine="357"/>
        <w:rPr>
          <w:sz w:val="22"/>
          <w:szCs w:val="22"/>
          <w:lang w:val="en-ZA"/>
        </w:rPr>
      </w:pPr>
      <w:r w:rsidRPr="00B72BD5">
        <w:rPr>
          <w:sz w:val="22"/>
          <w:szCs w:val="22"/>
          <w:lang w:val="en-ZA"/>
        </w:rPr>
        <w:t xml:space="preserve">Namibia must </w:t>
      </w:r>
      <w:r w:rsidR="00A4735A" w:rsidRPr="00B72BD5">
        <w:rPr>
          <w:sz w:val="22"/>
          <w:szCs w:val="22"/>
          <w:lang w:val="en-ZA"/>
        </w:rPr>
        <w:t xml:space="preserve">still </w:t>
      </w:r>
      <w:r w:rsidRPr="00B72BD5">
        <w:rPr>
          <w:sz w:val="22"/>
          <w:szCs w:val="22"/>
          <w:lang w:val="en-ZA"/>
        </w:rPr>
        <w:t xml:space="preserve">be considered a stable country </w:t>
      </w:r>
      <w:r w:rsidR="00AF6668" w:rsidRPr="00B72BD5">
        <w:rPr>
          <w:sz w:val="22"/>
          <w:szCs w:val="22"/>
          <w:lang w:val="en-ZA"/>
        </w:rPr>
        <w:t xml:space="preserve">in relation to CISUs use of the stable/fragile concepts but the </w:t>
      </w:r>
      <w:r w:rsidR="00E71BE9" w:rsidRPr="00B72BD5">
        <w:rPr>
          <w:sz w:val="22"/>
          <w:szCs w:val="22"/>
          <w:lang w:val="en-ZA"/>
        </w:rPr>
        <w:t>Covid</w:t>
      </w:r>
      <w:r w:rsidR="00364FC3" w:rsidRPr="00B72BD5">
        <w:rPr>
          <w:sz w:val="22"/>
          <w:szCs w:val="22"/>
          <w:lang w:val="en-ZA"/>
        </w:rPr>
        <w:t>-</w:t>
      </w:r>
      <w:r w:rsidR="00E71BE9" w:rsidRPr="00B72BD5">
        <w:rPr>
          <w:sz w:val="22"/>
          <w:szCs w:val="22"/>
          <w:lang w:val="en-ZA"/>
        </w:rPr>
        <w:t xml:space="preserve">19 pandemic coming on top of a long economic crisis has introduced </w:t>
      </w:r>
      <w:r w:rsidR="00231034" w:rsidRPr="00B72BD5">
        <w:rPr>
          <w:sz w:val="22"/>
          <w:szCs w:val="22"/>
          <w:lang w:val="en-ZA"/>
        </w:rPr>
        <w:t>a</w:t>
      </w:r>
      <w:r w:rsidR="00246FDE" w:rsidRPr="00B72BD5">
        <w:rPr>
          <w:sz w:val="22"/>
          <w:szCs w:val="22"/>
          <w:lang w:val="en-ZA"/>
        </w:rPr>
        <w:t xml:space="preserve"> significant</w:t>
      </w:r>
      <w:r w:rsidR="00231034" w:rsidRPr="00B72BD5">
        <w:rPr>
          <w:sz w:val="22"/>
          <w:szCs w:val="22"/>
          <w:lang w:val="en-ZA"/>
        </w:rPr>
        <w:t xml:space="preserve"> element of</w:t>
      </w:r>
      <w:r w:rsidR="00BD5B4E" w:rsidRPr="00B72BD5">
        <w:rPr>
          <w:sz w:val="22"/>
          <w:szCs w:val="22"/>
          <w:lang w:val="en-ZA"/>
        </w:rPr>
        <w:t xml:space="preserve"> unpredictability into the present situation. </w:t>
      </w:r>
      <w:r w:rsidR="00F328C2" w:rsidRPr="00B72BD5">
        <w:rPr>
          <w:sz w:val="22"/>
          <w:szCs w:val="22"/>
          <w:lang w:val="en-ZA"/>
        </w:rPr>
        <w:t xml:space="preserve">Our thinking on how to deal with this is reflected </w:t>
      </w:r>
      <w:r w:rsidR="00231034" w:rsidRPr="00B72BD5">
        <w:rPr>
          <w:sz w:val="22"/>
          <w:szCs w:val="22"/>
          <w:lang w:val="en-ZA"/>
        </w:rPr>
        <w:t>in section 3</w:t>
      </w:r>
      <w:r w:rsidR="00F73792" w:rsidRPr="00B72BD5">
        <w:rPr>
          <w:sz w:val="22"/>
          <w:szCs w:val="22"/>
          <w:lang w:val="en-ZA"/>
        </w:rPr>
        <w:t>, subsection on risks</w:t>
      </w:r>
      <w:r w:rsidR="00EE27E6" w:rsidRPr="00B72BD5">
        <w:rPr>
          <w:sz w:val="22"/>
          <w:szCs w:val="22"/>
          <w:lang w:val="en-ZA"/>
        </w:rPr>
        <w:t>.</w:t>
      </w:r>
    </w:p>
    <w:p w14:paraId="70A97728" w14:textId="304D2B93" w:rsidR="00564EC9" w:rsidRPr="00B72BD5" w:rsidRDefault="00564EC9" w:rsidP="00334B32">
      <w:pPr>
        <w:jc w:val="both"/>
        <w:rPr>
          <w:sz w:val="22"/>
          <w:lang w:val="en-GB"/>
        </w:rPr>
      </w:pPr>
    </w:p>
    <w:p w14:paraId="57973476" w14:textId="69506A5C" w:rsidR="00BF5969" w:rsidRPr="00206148" w:rsidRDefault="00BF5969" w:rsidP="00334B32">
      <w:pPr>
        <w:pStyle w:val="Heading2"/>
      </w:pPr>
      <w:bookmarkStart w:id="13" w:name="_Toc34813946"/>
      <w:bookmarkStart w:id="14" w:name="_Toc113951206"/>
      <w:r w:rsidRPr="00206148">
        <w:t xml:space="preserve">Contribution to strengthening civil society </w:t>
      </w:r>
      <w:r w:rsidR="00BC2D7C" w:rsidRPr="00206148">
        <w:t>to advance social justice</w:t>
      </w:r>
      <w:bookmarkEnd w:id="13"/>
      <w:bookmarkEnd w:id="14"/>
    </w:p>
    <w:p w14:paraId="5EC47DA3" w14:textId="77777777" w:rsidR="00BF5969" w:rsidRPr="00206148" w:rsidRDefault="00BF5969" w:rsidP="00334B32">
      <w:pPr>
        <w:rPr>
          <w:sz w:val="22"/>
          <w:szCs w:val="22"/>
          <w:lang w:val="en-ZA"/>
        </w:rPr>
      </w:pPr>
      <w:r w:rsidRPr="00206148">
        <w:rPr>
          <w:sz w:val="22"/>
          <w:szCs w:val="22"/>
          <w:lang w:val="en-ZA"/>
        </w:rPr>
        <w:t xml:space="preserve">This intervention aims to contribute towards the realisation of young people’s human rights, and to amplify their voices and effective participation at community and national level. Civil society strengthening is central to this work. </w:t>
      </w:r>
    </w:p>
    <w:p w14:paraId="2EEACAE8" w14:textId="22CB3815" w:rsidR="00C10008" w:rsidRPr="00206148" w:rsidRDefault="00C10008" w:rsidP="00C10008">
      <w:pPr>
        <w:ind w:firstLine="357"/>
        <w:rPr>
          <w:sz w:val="22"/>
          <w:szCs w:val="22"/>
          <w:lang w:val="en-ZA"/>
        </w:rPr>
      </w:pPr>
      <w:r w:rsidRPr="00206148">
        <w:rPr>
          <w:sz w:val="22"/>
          <w:szCs w:val="22"/>
          <w:lang w:val="en-ZA"/>
        </w:rPr>
        <w:t xml:space="preserve">At the core of the project is a substantial thread of ongoing capacity building support to the involved </w:t>
      </w:r>
      <w:r w:rsidR="00D63B24">
        <w:rPr>
          <w:sz w:val="22"/>
          <w:szCs w:val="22"/>
          <w:lang w:val="en-ZA"/>
        </w:rPr>
        <w:t xml:space="preserve">5 </w:t>
      </w:r>
      <w:r w:rsidRPr="00206148">
        <w:rPr>
          <w:sz w:val="22"/>
          <w:szCs w:val="22"/>
          <w:lang w:val="en-ZA"/>
        </w:rPr>
        <w:t>Namibian CSOs</w:t>
      </w:r>
      <w:r w:rsidR="00D46120" w:rsidRPr="00206148">
        <w:rPr>
          <w:sz w:val="22"/>
          <w:szCs w:val="22"/>
          <w:lang w:val="en-ZA"/>
        </w:rPr>
        <w:t xml:space="preserve"> in terms of civi</w:t>
      </w:r>
      <w:r w:rsidR="00D83810" w:rsidRPr="00206148">
        <w:rPr>
          <w:sz w:val="22"/>
          <w:szCs w:val="22"/>
          <w:lang w:val="en-ZA"/>
        </w:rPr>
        <w:t xml:space="preserve">c participation </w:t>
      </w:r>
      <w:r w:rsidR="000E609C" w:rsidRPr="00206148">
        <w:rPr>
          <w:sz w:val="22"/>
          <w:szCs w:val="22"/>
          <w:lang w:val="en-ZA"/>
        </w:rPr>
        <w:t xml:space="preserve">and systems monitoring, advocacy and media work and </w:t>
      </w:r>
      <w:r w:rsidR="000D08ED" w:rsidRPr="00206148">
        <w:rPr>
          <w:sz w:val="22"/>
          <w:szCs w:val="22"/>
          <w:lang w:val="en-ZA"/>
        </w:rPr>
        <w:t>resource mobilisation work. Building on this</w:t>
      </w:r>
      <w:r w:rsidR="009E37D9" w:rsidRPr="00206148">
        <w:rPr>
          <w:sz w:val="22"/>
          <w:szCs w:val="22"/>
          <w:lang w:val="en-ZA"/>
        </w:rPr>
        <w:t xml:space="preserve"> foundation there is </w:t>
      </w:r>
      <w:r w:rsidR="00C71DA7" w:rsidRPr="00206148">
        <w:rPr>
          <w:sz w:val="22"/>
          <w:szCs w:val="22"/>
          <w:lang w:val="en-ZA"/>
        </w:rPr>
        <w:t>then support</w:t>
      </w:r>
      <w:r w:rsidR="00780A16" w:rsidRPr="00206148">
        <w:rPr>
          <w:sz w:val="22"/>
          <w:szCs w:val="22"/>
          <w:lang w:val="en-ZA"/>
        </w:rPr>
        <w:t xml:space="preserve"> for their movement building work among their constituencies and </w:t>
      </w:r>
      <w:r w:rsidR="00D46120" w:rsidRPr="00206148">
        <w:rPr>
          <w:sz w:val="22"/>
          <w:szCs w:val="22"/>
          <w:lang w:val="en-ZA"/>
        </w:rPr>
        <w:t>support for their</w:t>
      </w:r>
      <w:r w:rsidR="009E37D9" w:rsidRPr="00206148">
        <w:rPr>
          <w:sz w:val="22"/>
          <w:szCs w:val="22"/>
          <w:lang w:val="en-ZA"/>
        </w:rPr>
        <w:t xml:space="preserve"> local level advocacy and influence work. </w:t>
      </w:r>
      <w:r w:rsidRPr="00206148">
        <w:rPr>
          <w:sz w:val="22"/>
          <w:szCs w:val="22"/>
          <w:lang w:val="en-ZA"/>
        </w:rPr>
        <w:t>For more details of this see section 3.</w:t>
      </w:r>
    </w:p>
    <w:p w14:paraId="40840347" w14:textId="603D6F0E" w:rsidR="00BF5969" w:rsidRPr="00206148" w:rsidRDefault="00BF5969" w:rsidP="00590689">
      <w:pPr>
        <w:ind w:firstLine="357"/>
        <w:rPr>
          <w:sz w:val="22"/>
          <w:szCs w:val="22"/>
          <w:lang w:val="en-ZA"/>
        </w:rPr>
      </w:pPr>
      <w:r w:rsidRPr="00206148">
        <w:rPr>
          <w:sz w:val="22"/>
          <w:szCs w:val="22"/>
          <w:lang w:val="en-ZA"/>
        </w:rPr>
        <w:t xml:space="preserve">We will work with </w:t>
      </w:r>
      <w:r w:rsidR="00A70DE9" w:rsidRPr="00206148">
        <w:rPr>
          <w:sz w:val="22"/>
          <w:szCs w:val="22"/>
          <w:lang w:val="en-ZA"/>
        </w:rPr>
        <w:t xml:space="preserve">local </w:t>
      </w:r>
      <w:r w:rsidRPr="00206148">
        <w:rPr>
          <w:sz w:val="22"/>
          <w:szCs w:val="22"/>
          <w:lang w:val="en-ZA"/>
        </w:rPr>
        <w:t>youth-led civil society organisations – LGBT+ and AGYW-led initiatives – and allied organisations working with these target groups. We see strengthening these organisations and their programming as a contribution to building stronger LGBT+ and AGYW movements. Sex work is common in both target groups and results in further marginalisation and stigmatization, and organisations representing the interests and rights of young sex workers will be included in the work.</w:t>
      </w:r>
    </w:p>
    <w:p w14:paraId="237E90F6" w14:textId="05004CF7" w:rsidR="00BF5969" w:rsidRPr="00206148" w:rsidRDefault="00282244" w:rsidP="00590689">
      <w:pPr>
        <w:ind w:firstLine="357"/>
        <w:rPr>
          <w:sz w:val="22"/>
          <w:szCs w:val="22"/>
          <w:lang w:val="en-ZA"/>
        </w:rPr>
      </w:pPr>
      <w:r w:rsidRPr="00206148">
        <w:rPr>
          <w:sz w:val="22"/>
          <w:szCs w:val="22"/>
          <w:lang w:val="en-ZA"/>
        </w:rPr>
        <w:t>Through the partners w</w:t>
      </w:r>
      <w:r w:rsidR="00BF5969" w:rsidRPr="00206148">
        <w:rPr>
          <w:sz w:val="22"/>
          <w:szCs w:val="22"/>
          <w:lang w:val="en-ZA"/>
        </w:rPr>
        <w:t xml:space="preserve">e will also engage with faith-based organisations, women’s </w:t>
      </w:r>
      <w:proofErr w:type="gramStart"/>
      <w:r w:rsidR="00BF5969" w:rsidRPr="00206148">
        <w:rPr>
          <w:sz w:val="22"/>
          <w:szCs w:val="22"/>
          <w:lang w:val="en-ZA"/>
        </w:rPr>
        <w:t>organisations</w:t>
      </w:r>
      <w:proofErr w:type="gramEnd"/>
      <w:r w:rsidR="00BF5969" w:rsidRPr="00206148">
        <w:rPr>
          <w:sz w:val="22"/>
          <w:szCs w:val="22"/>
          <w:lang w:val="en-ZA"/>
        </w:rPr>
        <w:t xml:space="preserve"> and other key civil society stakeholders where appropriate. </w:t>
      </w:r>
    </w:p>
    <w:p w14:paraId="498C02DC" w14:textId="77777777" w:rsidR="00BF5969" w:rsidRPr="00206148" w:rsidRDefault="00BF5969" w:rsidP="00590689">
      <w:pPr>
        <w:ind w:firstLine="357"/>
        <w:rPr>
          <w:sz w:val="22"/>
          <w:szCs w:val="22"/>
          <w:lang w:val="en-ZA"/>
        </w:rPr>
      </w:pPr>
      <w:r w:rsidRPr="00206148">
        <w:rPr>
          <w:sz w:val="22"/>
          <w:szCs w:val="22"/>
          <w:lang w:val="en-ZA"/>
        </w:rPr>
        <w:t>In the process, we will transfer an approach to catalysing community level change and accountability to organised civil society, and to the involved communities themselves, as well as a range of PV methods that will support such changes.</w:t>
      </w:r>
    </w:p>
    <w:p w14:paraId="1B56956E" w14:textId="55744507" w:rsidR="00BF5969" w:rsidRPr="00206148" w:rsidRDefault="00BF5969" w:rsidP="00590689">
      <w:pPr>
        <w:ind w:firstLine="357"/>
        <w:rPr>
          <w:sz w:val="22"/>
          <w:szCs w:val="22"/>
          <w:lang w:val="en-ZA"/>
        </w:rPr>
      </w:pPr>
      <w:r w:rsidRPr="00206148">
        <w:rPr>
          <w:sz w:val="22"/>
          <w:szCs w:val="22"/>
          <w:lang w:val="en-ZA"/>
        </w:rPr>
        <w:t xml:space="preserve">For more detail on our strategy, please see Section </w:t>
      </w:r>
      <w:r w:rsidR="006B0854" w:rsidRPr="00206148">
        <w:rPr>
          <w:sz w:val="22"/>
          <w:szCs w:val="22"/>
          <w:lang w:val="en-ZA"/>
        </w:rPr>
        <w:t>3</w:t>
      </w:r>
      <w:r w:rsidRPr="00206148">
        <w:rPr>
          <w:sz w:val="22"/>
          <w:szCs w:val="22"/>
          <w:lang w:val="en-ZA"/>
        </w:rPr>
        <w:t xml:space="preserve"> </w:t>
      </w:r>
      <w:r w:rsidR="006B0854" w:rsidRPr="00206148">
        <w:rPr>
          <w:sz w:val="22"/>
          <w:szCs w:val="22"/>
          <w:lang w:val="en-ZA"/>
        </w:rPr>
        <w:t>below.</w:t>
      </w:r>
      <w:r w:rsidR="009A37B2" w:rsidRPr="00206148">
        <w:rPr>
          <w:sz w:val="22"/>
          <w:szCs w:val="22"/>
          <w:lang w:val="en-ZA"/>
        </w:rPr>
        <w:t xml:space="preserve"> </w:t>
      </w:r>
    </w:p>
    <w:p w14:paraId="36DBB2D3" w14:textId="77777777" w:rsidR="001D2C5A" w:rsidRDefault="001D2C5A" w:rsidP="00334B32">
      <w:pPr>
        <w:pStyle w:val="Heading2"/>
      </w:pPr>
    </w:p>
    <w:p w14:paraId="500825D0" w14:textId="4D184353" w:rsidR="00DE154E" w:rsidRPr="00B72BD5" w:rsidRDefault="00E214BF" w:rsidP="00334B32">
      <w:pPr>
        <w:pStyle w:val="Heading2"/>
      </w:pPr>
      <w:bookmarkStart w:id="15" w:name="_Toc113951207"/>
      <w:r w:rsidRPr="00B72BD5">
        <w:t>Response to climate- and environmental conditions</w:t>
      </w:r>
      <w:bookmarkEnd w:id="15"/>
    </w:p>
    <w:p w14:paraId="6CEBEB9E" w14:textId="29464A4F" w:rsidR="00C10CF4" w:rsidRPr="00B72BD5" w:rsidRDefault="00483136" w:rsidP="00E47CBD">
      <w:pPr>
        <w:jc w:val="both"/>
        <w:rPr>
          <w:sz w:val="22"/>
          <w:lang w:val="en-GB"/>
        </w:rPr>
      </w:pPr>
      <w:r w:rsidRPr="00B72BD5">
        <w:rPr>
          <w:sz w:val="22"/>
          <w:lang w:val="en-GB"/>
        </w:rPr>
        <w:t>An intervention like this requires</w:t>
      </w:r>
      <w:r w:rsidR="00537B83" w:rsidRPr="00B72BD5">
        <w:rPr>
          <w:sz w:val="22"/>
          <w:lang w:val="en-GB"/>
        </w:rPr>
        <w:t xml:space="preserve"> substantial in depth “face time” between </w:t>
      </w:r>
      <w:r w:rsidR="00C665EB" w:rsidRPr="00B72BD5">
        <w:rPr>
          <w:sz w:val="22"/>
          <w:lang w:val="en-GB"/>
        </w:rPr>
        <w:t xml:space="preserve">partner staff </w:t>
      </w:r>
      <w:r w:rsidR="0035448D">
        <w:rPr>
          <w:sz w:val="22"/>
          <w:lang w:val="en-GB"/>
        </w:rPr>
        <w:t xml:space="preserve">and </w:t>
      </w:r>
      <w:r w:rsidR="00C665EB" w:rsidRPr="00B72BD5">
        <w:rPr>
          <w:sz w:val="22"/>
          <w:lang w:val="en-GB"/>
        </w:rPr>
        <w:t>PV</w:t>
      </w:r>
      <w:r w:rsidR="0035448D">
        <w:rPr>
          <w:sz w:val="22"/>
          <w:lang w:val="en-GB"/>
        </w:rPr>
        <w:t xml:space="preserve"> staff</w:t>
      </w:r>
      <w:r w:rsidR="00E11ABD" w:rsidRPr="00B72BD5">
        <w:rPr>
          <w:sz w:val="22"/>
          <w:lang w:val="en-GB"/>
        </w:rPr>
        <w:t xml:space="preserve">. </w:t>
      </w:r>
      <w:r w:rsidR="00014C95" w:rsidRPr="00B72BD5">
        <w:rPr>
          <w:sz w:val="22"/>
          <w:lang w:val="en-GB"/>
        </w:rPr>
        <w:t xml:space="preserve">Extended </w:t>
      </w:r>
      <w:r w:rsidR="009C719D" w:rsidRPr="00B72BD5">
        <w:rPr>
          <w:sz w:val="22"/>
          <w:lang w:val="en-GB"/>
        </w:rPr>
        <w:t xml:space="preserve">Community processes and </w:t>
      </w:r>
      <w:r w:rsidR="00A83CD3" w:rsidRPr="00B72BD5">
        <w:rPr>
          <w:sz w:val="22"/>
          <w:lang w:val="en-GB"/>
        </w:rPr>
        <w:t>in-depth</w:t>
      </w:r>
      <w:r w:rsidR="009C719D" w:rsidRPr="00B72BD5">
        <w:rPr>
          <w:sz w:val="22"/>
          <w:lang w:val="en-GB"/>
        </w:rPr>
        <w:t xml:space="preserve"> </w:t>
      </w:r>
      <w:r w:rsidR="00512744" w:rsidRPr="00B72BD5">
        <w:rPr>
          <w:sz w:val="22"/>
          <w:lang w:val="en-GB"/>
        </w:rPr>
        <w:t>reflection</w:t>
      </w:r>
      <w:r w:rsidR="009C719D" w:rsidRPr="00B72BD5">
        <w:rPr>
          <w:sz w:val="22"/>
          <w:lang w:val="en-GB"/>
        </w:rPr>
        <w:t xml:space="preserve"> and learning</w:t>
      </w:r>
      <w:r w:rsidR="00512744" w:rsidRPr="00B72BD5">
        <w:rPr>
          <w:sz w:val="22"/>
          <w:lang w:val="en-GB"/>
        </w:rPr>
        <w:t xml:space="preserve"> which drives quality</w:t>
      </w:r>
      <w:r w:rsidR="00F40FAA" w:rsidRPr="00B72BD5">
        <w:rPr>
          <w:sz w:val="22"/>
          <w:lang w:val="en-GB"/>
        </w:rPr>
        <w:t xml:space="preserve"> are just not suited for Skype or Zoom processes. </w:t>
      </w:r>
      <w:r w:rsidR="00014C95" w:rsidRPr="00B72BD5">
        <w:rPr>
          <w:sz w:val="22"/>
          <w:lang w:val="en-GB"/>
        </w:rPr>
        <w:t xml:space="preserve"> So</w:t>
      </w:r>
      <w:r w:rsidR="00215887" w:rsidRPr="00B72BD5">
        <w:rPr>
          <w:sz w:val="22"/>
          <w:lang w:val="en-GB"/>
        </w:rPr>
        <w:t>,</w:t>
      </w:r>
      <w:r w:rsidR="00014C95" w:rsidRPr="00B72BD5">
        <w:rPr>
          <w:sz w:val="22"/>
          <w:lang w:val="en-GB"/>
        </w:rPr>
        <w:t xml:space="preserve"> </w:t>
      </w:r>
      <w:r w:rsidR="008F4F44" w:rsidRPr="00B72BD5">
        <w:rPr>
          <w:sz w:val="22"/>
          <w:lang w:val="en-GB"/>
        </w:rPr>
        <w:t>it is unavoidable to create a level of negative environmental impact</w:t>
      </w:r>
      <w:r w:rsidR="008465F6" w:rsidRPr="00B72BD5">
        <w:rPr>
          <w:sz w:val="22"/>
          <w:lang w:val="en-GB"/>
        </w:rPr>
        <w:t xml:space="preserve"> through</w:t>
      </w:r>
      <w:r w:rsidR="006F587F" w:rsidRPr="00B72BD5">
        <w:rPr>
          <w:sz w:val="22"/>
          <w:lang w:val="en-GB"/>
        </w:rPr>
        <w:t xml:space="preserve"> the effect of transpo</w:t>
      </w:r>
      <w:r w:rsidR="00A83CD3" w:rsidRPr="00B72BD5">
        <w:rPr>
          <w:sz w:val="22"/>
          <w:lang w:val="en-GB"/>
        </w:rPr>
        <w:t>r</w:t>
      </w:r>
      <w:r w:rsidR="006F587F" w:rsidRPr="00B72BD5">
        <w:rPr>
          <w:sz w:val="22"/>
          <w:lang w:val="en-GB"/>
        </w:rPr>
        <w:t>t</w:t>
      </w:r>
      <w:r w:rsidR="0023683B" w:rsidRPr="00B72BD5">
        <w:rPr>
          <w:sz w:val="22"/>
          <w:lang w:val="en-GB"/>
        </w:rPr>
        <w:t xml:space="preserve">, </w:t>
      </w:r>
      <w:r w:rsidR="00C1055C">
        <w:rPr>
          <w:sz w:val="22"/>
          <w:lang w:val="en-GB"/>
        </w:rPr>
        <w:t>and more so due to the si</w:t>
      </w:r>
      <w:r w:rsidR="005D3724">
        <w:rPr>
          <w:sz w:val="22"/>
          <w:lang w:val="en-GB"/>
        </w:rPr>
        <w:t xml:space="preserve">ze of Namibia and its low population density. </w:t>
      </w:r>
      <w:r w:rsidR="00716E63">
        <w:rPr>
          <w:sz w:val="22"/>
          <w:lang w:val="en-GB"/>
        </w:rPr>
        <w:t>H</w:t>
      </w:r>
      <w:r w:rsidR="00716E63" w:rsidRPr="00B72BD5">
        <w:rPr>
          <w:sz w:val="22"/>
          <w:lang w:val="en-GB"/>
        </w:rPr>
        <w:t>owever,</w:t>
      </w:r>
      <w:r w:rsidR="0023683B" w:rsidRPr="00B72BD5">
        <w:rPr>
          <w:sz w:val="22"/>
          <w:lang w:val="en-GB"/>
        </w:rPr>
        <w:t xml:space="preserve"> we have tried to optimize</w:t>
      </w:r>
      <w:r w:rsidR="007B531F" w:rsidRPr="00B72BD5">
        <w:rPr>
          <w:sz w:val="22"/>
          <w:lang w:val="en-GB"/>
        </w:rPr>
        <w:t xml:space="preserve"> the </w:t>
      </w:r>
      <w:r w:rsidR="00E46647" w:rsidRPr="00B72BD5">
        <w:rPr>
          <w:sz w:val="22"/>
          <w:lang w:val="en-GB"/>
        </w:rPr>
        <w:t>trade-off</w:t>
      </w:r>
      <w:r w:rsidR="007B531F" w:rsidRPr="00B72BD5">
        <w:rPr>
          <w:sz w:val="22"/>
          <w:lang w:val="en-GB"/>
        </w:rPr>
        <w:t xml:space="preserve"> between </w:t>
      </w:r>
      <w:r w:rsidR="00BD6154" w:rsidRPr="00B72BD5">
        <w:rPr>
          <w:sz w:val="22"/>
          <w:lang w:val="en-GB"/>
        </w:rPr>
        <w:t xml:space="preserve">quality through </w:t>
      </w:r>
      <w:r w:rsidR="00364FC3" w:rsidRPr="00B72BD5">
        <w:rPr>
          <w:sz w:val="22"/>
          <w:lang w:val="en-GB"/>
        </w:rPr>
        <w:t>in-depth</w:t>
      </w:r>
      <w:r w:rsidR="00BD6154" w:rsidRPr="00B72BD5">
        <w:rPr>
          <w:sz w:val="22"/>
          <w:lang w:val="en-GB"/>
        </w:rPr>
        <w:t xml:space="preserve"> </w:t>
      </w:r>
      <w:r w:rsidR="00DC27C8" w:rsidRPr="00B72BD5">
        <w:rPr>
          <w:sz w:val="22"/>
          <w:lang w:val="en-GB"/>
        </w:rPr>
        <w:t xml:space="preserve">face to face </w:t>
      </w:r>
      <w:r w:rsidR="00BD6154" w:rsidRPr="00B72BD5">
        <w:rPr>
          <w:sz w:val="22"/>
          <w:lang w:val="en-GB"/>
        </w:rPr>
        <w:t xml:space="preserve">engagement </w:t>
      </w:r>
      <w:r w:rsidR="007D1B0E" w:rsidRPr="00B72BD5">
        <w:rPr>
          <w:sz w:val="22"/>
          <w:lang w:val="en-GB"/>
        </w:rPr>
        <w:t xml:space="preserve">and the negative environmental </w:t>
      </w:r>
      <w:r w:rsidR="00364FC3" w:rsidRPr="00B72BD5">
        <w:rPr>
          <w:sz w:val="22"/>
          <w:lang w:val="en-GB"/>
        </w:rPr>
        <w:t>footprint</w:t>
      </w:r>
      <w:r w:rsidR="007D1B0E" w:rsidRPr="00B72BD5">
        <w:rPr>
          <w:sz w:val="22"/>
          <w:lang w:val="en-GB"/>
        </w:rPr>
        <w:t xml:space="preserve"> of transport.</w:t>
      </w:r>
      <w:r w:rsidR="00E46647" w:rsidRPr="00B72BD5">
        <w:rPr>
          <w:sz w:val="22"/>
          <w:lang w:val="en-GB"/>
        </w:rPr>
        <w:t xml:space="preserve"> </w:t>
      </w:r>
    </w:p>
    <w:p w14:paraId="59808CFD" w14:textId="3629E388" w:rsidR="00D667CA" w:rsidRPr="00B72BD5" w:rsidRDefault="00D667CA" w:rsidP="00D667CA">
      <w:pPr>
        <w:ind w:firstLine="357"/>
        <w:jc w:val="both"/>
        <w:rPr>
          <w:sz w:val="22"/>
          <w:lang w:val="en-GB"/>
        </w:rPr>
      </w:pPr>
      <w:r w:rsidRPr="00B72BD5">
        <w:rPr>
          <w:sz w:val="22"/>
          <w:lang w:val="en-GB"/>
        </w:rPr>
        <w:t xml:space="preserve">In terms of internal transport in Namibia </w:t>
      </w:r>
      <w:r w:rsidR="00F35B6D" w:rsidRPr="00B72BD5">
        <w:rPr>
          <w:sz w:val="22"/>
          <w:lang w:val="en-GB"/>
        </w:rPr>
        <w:t>l</w:t>
      </w:r>
      <w:r w:rsidRPr="00B72BD5">
        <w:rPr>
          <w:sz w:val="22"/>
          <w:lang w:val="en-GB"/>
        </w:rPr>
        <w:t>ocal</w:t>
      </w:r>
      <w:r w:rsidR="00DD55D0" w:rsidRPr="00B72BD5">
        <w:rPr>
          <w:sz w:val="22"/>
          <w:lang w:val="en-GB"/>
        </w:rPr>
        <w:t xml:space="preserve"> public</w:t>
      </w:r>
      <w:r w:rsidR="004D68AD" w:rsidRPr="00B72BD5">
        <w:rPr>
          <w:sz w:val="22"/>
          <w:lang w:val="en-GB"/>
        </w:rPr>
        <w:t xml:space="preserve"> </w:t>
      </w:r>
      <w:r w:rsidRPr="00B72BD5">
        <w:rPr>
          <w:sz w:val="22"/>
          <w:lang w:val="en-GB"/>
        </w:rPr>
        <w:t xml:space="preserve">transportation will be used </w:t>
      </w:r>
      <w:r w:rsidR="00294050">
        <w:rPr>
          <w:sz w:val="22"/>
          <w:lang w:val="en-GB"/>
        </w:rPr>
        <w:t>as much as possible</w:t>
      </w:r>
      <w:r w:rsidRPr="00B72BD5">
        <w:rPr>
          <w:sz w:val="22"/>
          <w:lang w:val="en-GB"/>
        </w:rPr>
        <w:t xml:space="preserve">. Workshops and trainings will be at venues which support local environmental footprint by safeguarding reasonable measures to prevent pollution and ecological degradation. Reusable commodities </w:t>
      </w:r>
      <w:proofErr w:type="gramStart"/>
      <w:r w:rsidRPr="00B72BD5">
        <w:rPr>
          <w:sz w:val="22"/>
          <w:lang w:val="en-GB"/>
        </w:rPr>
        <w:t>e.g.</w:t>
      </w:r>
      <w:proofErr w:type="gramEnd"/>
      <w:r w:rsidRPr="00B72BD5">
        <w:rPr>
          <w:sz w:val="22"/>
          <w:lang w:val="en-GB"/>
        </w:rPr>
        <w:t xml:space="preserve"> face masks will be encouraged within the project and the team will ban the use of plastic. </w:t>
      </w:r>
    </w:p>
    <w:p w14:paraId="3B70BB50" w14:textId="4F128917" w:rsidR="001268F7" w:rsidRDefault="001268F7" w:rsidP="00486C57">
      <w:pPr>
        <w:ind w:firstLine="357"/>
        <w:jc w:val="both"/>
        <w:rPr>
          <w:sz w:val="22"/>
          <w:lang w:val="en-GB"/>
        </w:rPr>
      </w:pPr>
      <w:r w:rsidRPr="003F1695">
        <w:rPr>
          <w:sz w:val="22"/>
          <w:lang w:val="en-GB"/>
        </w:rPr>
        <w:t xml:space="preserve">In terms of </w:t>
      </w:r>
      <w:r w:rsidR="008E301A" w:rsidRPr="003F1695">
        <w:rPr>
          <w:sz w:val="22"/>
          <w:lang w:val="en-GB"/>
        </w:rPr>
        <w:t>Spor Media</w:t>
      </w:r>
      <w:r w:rsidR="009D4679" w:rsidRPr="003F1695">
        <w:rPr>
          <w:sz w:val="22"/>
          <w:lang w:val="en-GB"/>
        </w:rPr>
        <w:t>’s involvement in activities in Namibia</w:t>
      </w:r>
      <w:r w:rsidR="00C3219B" w:rsidRPr="003F1695">
        <w:rPr>
          <w:sz w:val="22"/>
          <w:lang w:val="en-GB"/>
        </w:rPr>
        <w:t xml:space="preserve"> the number of </w:t>
      </w:r>
      <w:r w:rsidR="00E851F4" w:rsidRPr="003F1695">
        <w:rPr>
          <w:sz w:val="22"/>
          <w:lang w:val="en-GB"/>
        </w:rPr>
        <w:t xml:space="preserve">air flights is </w:t>
      </w:r>
      <w:r w:rsidR="002A23A6" w:rsidRPr="003F1695">
        <w:rPr>
          <w:sz w:val="22"/>
          <w:lang w:val="en-GB"/>
        </w:rPr>
        <w:t>kept low</w:t>
      </w:r>
      <w:r w:rsidR="00E851F4" w:rsidRPr="003F1695">
        <w:rPr>
          <w:sz w:val="22"/>
          <w:lang w:val="en-GB"/>
        </w:rPr>
        <w:t xml:space="preserve"> by</w:t>
      </w:r>
      <w:r w:rsidR="00995983" w:rsidRPr="003F1695">
        <w:rPr>
          <w:sz w:val="22"/>
          <w:lang w:val="en-GB"/>
        </w:rPr>
        <w:t xml:space="preserve"> </w:t>
      </w:r>
      <w:r w:rsidR="00E851F4" w:rsidRPr="003F1695">
        <w:rPr>
          <w:b/>
          <w:bCs/>
          <w:sz w:val="22"/>
          <w:lang w:val="en-GB"/>
        </w:rPr>
        <w:t>combin</w:t>
      </w:r>
      <w:r w:rsidR="003E2228" w:rsidRPr="003F1695">
        <w:rPr>
          <w:b/>
          <w:bCs/>
          <w:sz w:val="22"/>
          <w:lang w:val="en-GB"/>
        </w:rPr>
        <w:t>ing</w:t>
      </w:r>
      <w:r w:rsidR="00E851F4" w:rsidRPr="003F1695">
        <w:rPr>
          <w:b/>
          <w:bCs/>
          <w:sz w:val="22"/>
          <w:lang w:val="en-GB"/>
        </w:rPr>
        <w:t xml:space="preserve"> </w:t>
      </w:r>
      <w:r w:rsidR="00E851F4" w:rsidRPr="003F1695">
        <w:rPr>
          <w:sz w:val="22"/>
          <w:lang w:val="en-GB"/>
        </w:rPr>
        <w:t>different activities</w:t>
      </w:r>
      <w:r w:rsidR="00452AAB" w:rsidRPr="003F1695">
        <w:rPr>
          <w:sz w:val="22"/>
          <w:lang w:val="en-GB"/>
        </w:rPr>
        <w:t xml:space="preserve"> in one trip and by combining some basic monitoring and follow up with </w:t>
      </w:r>
      <w:r w:rsidR="00176AF2">
        <w:rPr>
          <w:sz w:val="22"/>
          <w:lang w:val="en-GB"/>
        </w:rPr>
        <w:t xml:space="preserve">a </w:t>
      </w:r>
      <w:r w:rsidR="00452AAB" w:rsidRPr="003F1695">
        <w:rPr>
          <w:sz w:val="22"/>
          <w:lang w:val="en-GB"/>
        </w:rPr>
        <w:t xml:space="preserve">project visit </w:t>
      </w:r>
      <w:r w:rsidR="003F1695" w:rsidRPr="003F1695">
        <w:rPr>
          <w:sz w:val="22"/>
          <w:lang w:val="en-GB"/>
        </w:rPr>
        <w:t xml:space="preserve">funded by </w:t>
      </w:r>
      <w:r w:rsidR="00176AF2">
        <w:rPr>
          <w:sz w:val="22"/>
          <w:lang w:val="en-GB"/>
        </w:rPr>
        <w:t>another</w:t>
      </w:r>
      <w:r w:rsidR="003F1695" w:rsidRPr="003F1695">
        <w:rPr>
          <w:sz w:val="22"/>
          <w:lang w:val="en-GB"/>
        </w:rPr>
        <w:t xml:space="preserve"> project. </w:t>
      </w:r>
      <w:r w:rsidR="00496FAA" w:rsidRPr="003F1695">
        <w:rPr>
          <w:sz w:val="22"/>
          <w:lang w:val="en-GB"/>
        </w:rPr>
        <w:t xml:space="preserve"> T</w:t>
      </w:r>
      <w:r w:rsidR="00480EC6" w:rsidRPr="003F1695">
        <w:rPr>
          <w:sz w:val="22"/>
          <w:lang w:val="en-GB"/>
        </w:rPr>
        <w:t>here are a total of</w:t>
      </w:r>
      <w:r w:rsidR="00CD14A9" w:rsidRPr="003F1695">
        <w:rPr>
          <w:sz w:val="22"/>
          <w:lang w:val="en-GB"/>
        </w:rPr>
        <w:t xml:space="preserve"> 2</w:t>
      </w:r>
      <w:r w:rsidR="0032275C" w:rsidRPr="003F1695">
        <w:rPr>
          <w:sz w:val="22"/>
          <w:lang w:val="en-GB"/>
        </w:rPr>
        <w:t xml:space="preserve"> flights included in the budget</w:t>
      </w:r>
      <w:r w:rsidR="00586DEF">
        <w:rPr>
          <w:sz w:val="22"/>
          <w:lang w:val="en-GB"/>
        </w:rPr>
        <w:t xml:space="preserve"> for</w:t>
      </w:r>
      <w:r w:rsidR="000772C3">
        <w:rPr>
          <w:sz w:val="22"/>
          <w:lang w:val="en-GB"/>
        </w:rPr>
        <w:t xml:space="preserve"> 2 Spor members to participate in a range of interlinked activities:</w:t>
      </w:r>
      <w:r w:rsidR="00B816B7">
        <w:rPr>
          <w:sz w:val="22"/>
          <w:lang w:val="en-GB"/>
        </w:rPr>
        <w:t xml:space="preserve"> </w:t>
      </w:r>
      <w:r w:rsidR="000772C3">
        <w:rPr>
          <w:sz w:val="22"/>
          <w:lang w:val="en-GB"/>
        </w:rPr>
        <w:t>review wo</w:t>
      </w:r>
      <w:r w:rsidR="00B816B7">
        <w:rPr>
          <w:sz w:val="22"/>
          <w:lang w:val="en-GB"/>
        </w:rPr>
        <w:t xml:space="preserve">rk, learning events, </w:t>
      </w:r>
      <w:r w:rsidR="00D30228">
        <w:rPr>
          <w:sz w:val="22"/>
          <w:lang w:val="en-GB"/>
        </w:rPr>
        <w:t>strategy,</w:t>
      </w:r>
      <w:r w:rsidR="00B816B7">
        <w:rPr>
          <w:sz w:val="22"/>
          <w:lang w:val="en-GB"/>
        </w:rPr>
        <w:t xml:space="preserve"> and programme development work</w:t>
      </w:r>
      <w:r w:rsidR="00CE4B91">
        <w:rPr>
          <w:sz w:val="22"/>
          <w:lang w:val="en-GB"/>
        </w:rPr>
        <w:t>.</w:t>
      </w:r>
    </w:p>
    <w:p w14:paraId="6C2070C7" w14:textId="77777777" w:rsidR="009D3FCF" w:rsidRPr="00B72BD5" w:rsidRDefault="009D3FCF" w:rsidP="00486C57">
      <w:pPr>
        <w:ind w:firstLine="357"/>
        <w:jc w:val="both"/>
        <w:rPr>
          <w:sz w:val="22"/>
          <w:lang w:val="en-GB"/>
        </w:rPr>
      </w:pPr>
    </w:p>
    <w:p w14:paraId="57E02EC8" w14:textId="7709475B" w:rsidR="00C47F36" w:rsidRPr="00B72BD5" w:rsidRDefault="00C47F36" w:rsidP="00A20B5B">
      <w:pPr>
        <w:jc w:val="both"/>
        <w:rPr>
          <w:sz w:val="22"/>
          <w:lang w:val="en-GB"/>
        </w:rPr>
      </w:pPr>
    </w:p>
    <w:p w14:paraId="09E041F5" w14:textId="475E0E64" w:rsidR="00C47F36" w:rsidRPr="00B72BD5" w:rsidRDefault="00C47F36" w:rsidP="00407190">
      <w:pPr>
        <w:pStyle w:val="Heading1"/>
        <w:numPr>
          <w:ilvl w:val="0"/>
          <w:numId w:val="7"/>
        </w:numPr>
      </w:pPr>
      <w:bookmarkStart w:id="16" w:name="_Toc113951208"/>
      <w:bookmarkEnd w:id="11"/>
      <w:r w:rsidRPr="00B72BD5">
        <w:t xml:space="preserve">The partnership/collaborators (our </w:t>
      </w:r>
      <w:r w:rsidR="00385574" w:rsidRPr="00B72BD5">
        <w:t>starting point</w:t>
      </w:r>
      <w:r w:rsidRPr="00B72BD5">
        <w:t>)</w:t>
      </w:r>
      <w:bookmarkEnd w:id="16"/>
    </w:p>
    <w:p w14:paraId="26802B84" w14:textId="39128A40" w:rsidR="005369CB" w:rsidRPr="00B72BD5" w:rsidRDefault="00E377CF" w:rsidP="00334B32">
      <w:pPr>
        <w:pStyle w:val="Heading2"/>
      </w:pPr>
      <w:bookmarkStart w:id="17" w:name="_Toc113951209"/>
      <w:r w:rsidRPr="00B72BD5">
        <w:t xml:space="preserve">Experiences, </w:t>
      </w:r>
      <w:proofErr w:type="gramStart"/>
      <w:r w:rsidRPr="00B72BD5">
        <w:t>capacities</w:t>
      </w:r>
      <w:proofErr w:type="gramEnd"/>
      <w:r w:rsidRPr="00B72BD5">
        <w:t xml:space="preserve"> and resources of participant partners as well as other actors</w:t>
      </w:r>
      <w:bookmarkEnd w:id="17"/>
    </w:p>
    <w:p w14:paraId="2C28BBD1" w14:textId="77777777" w:rsidR="004324E0" w:rsidRPr="00B72BD5" w:rsidRDefault="004324E0" w:rsidP="00334B32">
      <w:pPr>
        <w:rPr>
          <w:b/>
          <w:sz w:val="22"/>
          <w:szCs w:val="22"/>
          <w:lang w:val="en-ZA"/>
        </w:rPr>
      </w:pPr>
      <w:r w:rsidRPr="00B72BD5">
        <w:rPr>
          <w:b/>
          <w:sz w:val="22"/>
          <w:szCs w:val="22"/>
          <w:lang w:val="en-ZA"/>
        </w:rPr>
        <w:lastRenderedPageBreak/>
        <w:t>Positive Vibes (PV)</w:t>
      </w:r>
    </w:p>
    <w:p w14:paraId="31B9FB85" w14:textId="55B45D1F" w:rsidR="004324E0" w:rsidRPr="00B72BD5" w:rsidRDefault="004324E0" w:rsidP="00334B32">
      <w:pPr>
        <w:rPr>
          <w:sz w:val="22"/>
          <w:szCs w:val="22"/>
          <w:lang w:val="en-ZA"/>
        </w:rPr>
      </w:pPr>
      <w:r w:rsidRPr="00B72BD5">
        <w:rPr>
          <w:sz w:val="22"/>
          <w:szCs w:val="22"/>
          <w:lang w:val="en-ZA"/>
        </w:rPr>
        <w:t>PV is a Namibian NGO with a long track record of work at community level</w:t>
      </w:r>
      <w:r w:rsidR="00850FC4" w:rsidRPr="00B72BD5">
        <w:rPr>
          <w:sz w:val="22"/>
          <w:szCs w:val="22"/>
          <w:lang w:val="en-ZA"/>
        </w:rPr>
        <w:t xml:space="preserve"> </w:t>
      </w:r>
      <w:r w:rsidR="00B5564E" w:rsidRPr="00B72BD5">
        <w:rPr>
          <w:sz w:val="22"/>
          <w:szCs w:val="22"/>
          <w:lang w:val="en-ZA"/>
        </w:rPr>
        <w:t xml:space="preserve">initially </w:t>
      </w:r>
      <w:r w:rsidR="00850FC4" w:rsidRPr="00B72BD5">
        <w:rPr>
          <w:sz w:val="22"/>
          <w:szCs w:val="22"/>
          <w:lang w:val="en-ZA"/>
        </w:rPr>
        <w:t>around HIV/Aids</w:t>
      </w:r>
      <w:r w:rsidRPr="00B72BD5">
        <w:rPr>
          <w:sz w:val="22"/>
          <w:szCs w:val="22"/>
          <w:lang w:val="en-ZA"/>
        </w:rPr>
        <w:t xml:space="preserve">, as well as advocacy work addressing local and national government institutions. </w:t>
      </w:r>
      <w:bookmarkStart w:id="18" w:name="_Hlk34295509"/>
      <w:r w:rsidRPr="00B72BD5">
        <w:rPr>
          <w:sz w:val="22"/>
          <w:szCs w:val="22"/>
          <w:lang w:val="en-ZA"/>
        </w:rPr>
        <w:t xml:space="preserve">PV has played a key role in national strategy and policy development </w:t>
      </w:r>
      <w:r w:rsidR="00514D6A" w:rsidRPr="00B72BD5">
        <w:rPr>
          <w:sz w:val="22"/>
          <w:szCs w:val="22"/>
          <w:lang w:val="en-ZA"/>
        </w:rPr>
        <w:t>processes and</w:t>
      </w:r>
      <w:r w:rsidRPr="00B72BD5">
        <w:rPr>
          <w:sz w:val="22"/>
          <w:szCs w:val="22"/>
          <w:lang w:val="en-ZA"/>
        </w:rPr>
        <w:t xml:space="preserve"> engaged in many dialogues with the Namibian government in collaboration with its extensive network of civil society partners. </w:t>
      </w:r>
      <w:bookmarkEnd w:id="18"/>
      <w:r w:rsidRPr="00B72BD5">
        <w:rPr>
          <w:sz w:val="22"/>
          <w:szCs w:val="22"/>
          <w:lang w:val="en-ZA"/>
        </w:rPr>
        <w:t>PV is represented on several key Technical Working Groups and Advisory Committees under the Ministry of Health and Social Services (</w:t>
      </w:r>
      <w:proofErr w:type="spellStart"/>
      <w:r w:rsidRPr="00B72BD5">
        <w:rPr>
          <w:sz w:val="22"/>
          <w:szCs w:val="22"/>
          <w:lang w:val="en-ZA"/>
        </w:rPr>
        <w:t>MoHSS</w:t>
      </w:r>
      <w:proofErr w:type="spellEnd"/>
      <w:r w:rsidRPr="00B72BD5">
        <w:rPr>
          <w:sz w:val="22"/>
          <w:szCs w:val="22"/>
          <w:lang w:val="en-ZA"/>
        </w:rPr>
        <w:t xml:space="preserve">). PV also works closely with the Office of the Ombudsman and the Office of the First Lady of Namibia. At the local level, PV is a respected partner </w:t>
      </w:r>
      <w:r w:rsidR="005B65B4">
        <w:rPr>
          <w:sz w:val="22"/>
          <w:szCs w:val="22"/>
          <w:lang w:val="en-ZA"/>
        </w:rPr>
        <w:t xml:space="preserve">often </w:t>
      </w:r>
      <w:r w:rsidRPr="00B72BD5">
        <w:rPr>
          <w:sz w:val="22"/>
          <w:szCs w:val="22"/>
          <w:lang w:val="en-ZA"/>
        </w:rPr>
        <w:t xml:space="preserve">represented in local coordination structures, </w:t>
      </w:r>
      <w:proofErr w:type="gramStart"/>
      <w:r w:rsidRPr="00B72BD5">
        <w:rPr>
          <w:sz w:val="22"/>
          <w:szCs w:val="22"/>
          <w:lang w:val="en-ZA"/>
        </w:rPr>
        <w:t>e.g.</w:t>
      </w:r>
      <w:proofErr w:type="gramEnd"/>
      <w:r w:rsidRPr="00B72BD5">
        <w:rPr>
          <w:sz w:val="22"/>
          <w:szCs w:val="22"/>
          <w:lang w:val="en-ZA"/>
        </w:rPr>
        <w:t xml:space="preserve"> Regional Aids Coordination Committees (RACOCs).</w:t>
      </w:r>
    </w:p>
    <w:p w14:paraId="039CFB3E" w14:textId="219C53BB" w:rsidR="00E16606" w:rsidRPr="00B72BD5" w:rsidRDefault="004324E0" w:rsidP="009456C5">
      <w:pPr>
        <w:ind w:firstLine="357"/>
        <w:rPr>
          <w:sz w:val="22"/>
          <w:szCs w:val="22"/>
          <w:lang w:val="en-ZA"/>
        </w:rPr>
      </w:pPr>
      <w:r w:rsidRPr="00B72BD5">
        <w:rPr>
          <w:sz w:val="22"/>
          <w:szCs w:val="22"/>
          <w:lang w:val="en-ZA"/>
        </w:rPr>
        <w:t>Since 2012, PV has also operated extensively across Africa and beyond, in partnerships with Frontline Aids, HIVOS, and several Northern LGBT+ organisations (</w:t>
      </w:r>
      <w:proofErr w:type="gramStart"/>
      <w:r w:rsidRPr="00B72BD5">
        <w:rPr>
          <w:sz w:val="22"/>
          <w:szCs w:val="22"/>
          <w:lang w:val="en-ZA"/>
        </w:rPr>
        <w:t>e.g.</w:t>
      </w:r>
      <w:proofErr w:type="gramEnd"/>
      <w:r w:rsidRPr="00B72BD5">
        <w:rPr>
          <w:sz w:val="22"/>
          <w:szCs w:val="22"/>
          <w:lang w:val="en-ZA"/>
        </w:rPr>
        <w:t xml:space="preserve"> LGBT</w:t>
      </w:r>
      <w:r w:rsidR="00F60929">
        <w:rPr>
          <w:sz w:val="22"/>
          <w:szCs w:val="22"/>
          <w:lang w:val="en-ZA"/>
        </w:rPr>
        <w:t>+</w:t>
      </w:r>
      <w:r w:rsidRPr="00B72BD5">
        <w:rPr>
          <w:sz w:val="22"/>
          <w:szCs w:val="22"/>
          <w:lang w:val="en-ZA"/>
        </w:rPr>
        <w:t xml:space="preserve"> Denmark)</w:t>
      </w:r>
      <w:r w:rsidR="00A21BAA" w:rsidRPr="00B72BD5">
        <w:rPr>
          <w:sz w:val="22"/>
          <w:szCs w:val="22"/>
          <w:lang w:val="en-ZA"/>
        </w:rPr>
        <w:t xml:space="preserve"> and has set up an office in Cape Town to </w:t>
      </w:r>
      <w:r w:rsidR="0094043D" w:rsidRPr="00B72BD5">
        <w:rPr>
          <w:sz w:val="22"/>
          <w:szCs w:val="22"/>
          <w:lang w:val="en-ZA"/>
        </w:rPr>
        <w:t>handle the international work.</w:t>
      </w:r>
      <w:r w:rsidR="002C1213" w:rsidRPr="00B72BD5">
        <w:rPr>
          <w:sz w:val="22"/>
          <w:szCs w:val="22"/>
          <w:lang w:val="en-ZA"/>
        </w:rPr>
        <w:t xml:space="preserve"> </w:t>
      </w:r>
    </w:p>
    <w:p w14:paraId="723FC85B" w14:textId="665B1D5C" w:rsidR="004324E0" w:rsidRDefault="004324E0" w:rsidP="00711894">
      <w:pPr>
        <w:ind w:firstLine="357"/>
        <w:rPr>
          <w:sz w:val="22"/>
          <w:szCs w:val="22"/>
          <w:lang w:val="en-ZA"/>
        </w:rPr>
      </w:pPr>
      <w:r w:rsidRPr="00B72BD5">
        <w:rPr>
          <w:sz w:val="22"/>
          <w:szCs w:val="22"/>
          <w:lang w:val="en-ZA"/>
        </w:rPr>
        <w:t xml:space="preserve">PV’s key focus area is on work with community members </w:t>
      </w:r>
      <w:r w:rsidRPr="005F12B2">
        <w:rPr>
          <w:b/>
          <w:bCs/>
          <w:sz w:val="22"/>
          <w:szCs w:val="22"/>
          <w:lang w:val="en-ZA"/>
        </w:rPr>
        <w:t>who are most othered and stigmatised</w:t>
      </w:r>
      <w:r w:rsidRPr="00B72BD5">
        <w:rPr>
          <w:sz w:val="22"/>
          <w:szCs w:val="22"/>
          <w:lang w:val="en-ZA"/>
        </w:rPr>
        <w:t xml:space="preserve">: </w:t>
      </w:r>
      <w:r w:rsidR="00F60929">
        <w:rPr>
          <w:sz w:val="22"/>
          <w:szCs w:val="22"/>
          <w:lang w:val="en-ZA"/>
        </w:rPr>
        <w:t>LGBT</w:t>
      </w:r>
      <w:r w:rsidRPr="00B72BD5">
        <w:rPr>
          <w:sz w:val="22"/>
          <w:szCs w:val="22"/>
          <w:lang w:val="en-ZA"/>
        </w:rPr>
        <w:t xml:space="preserve">+ persons, People Living with HIV (PLHIV), young women and girls, and sex workers. </w:t>
      </w:r>
    </w:p>
    <w:p w14:paraId="13F63CE1" w14:textId="77777777" w:rsidR="004324E0" w:rsidRPr="00B72BD5" w:rsidRDefault="004324E0" w:rsidP="00711894">
      <w:pPr>
        <w:ind w:firstLine="357"/>
        <w:rPr>
          <w:sz w:val="22"/>
          <w:szCs w:val="22"/>
          <w:lang w:val="en-ZA"/>
        </w:rPr>
      </w:pPr>
      <w:r w:rsidRPr="00B72BD5">
        <w:rPr>
          <w:sz w:val="22"/>
          <w:szCs w:val="22"/>
          <w:lang w:val="en-ZA"/>
        </w:rPr>
        <w:t xml:space="preserve">PV grew out of a strong Scandinavian development tradition (Ibis) merging with an equally strong South African development and organisation development (OD) tradition. This dual origin has shaped its work around catalysing social change by supporting conscientisation at multiple levels, building community ownership, and enabling marginalised people to use their voices for effective influence. The work is enabled by a clear approach to community engagement and facilitation that typically involves long-term accompaniment of partners and a strong human rights orientation. </w:t>
      </w:r>
    </w:p>
    <w:p w14:paraId="688A33EA" w14:textId="4EB449E6" w:rsidR="004324E0" w:rsidRPr="00B72BD5" w:rsidRDefault="004324E0" w:rsidP="00711894">
      <w:pPr>
        <w:ind w:firstLine="357"/>
        <w:rPr>
          <w:sz w:val="22"/>
          <w:szCs w:val="22"/>
          <w:lang w:val="en-ZA"/>
        </w:rPr>
      </w:pPr>
      <w:r w:rsidRPr="00B72BD5">
        <w:rPr>
          <w:sz w:val="22"/>
          <w:szCs w:val="22"/>
          <w:lang w:val="en-ZA"/>
        </w:rPr>
        <w:t xml:space="preserve">A special feature of PV for almost 2 decades is its continuous innovative work on </w:t>
      </w:r>
      <w:r w:rsidR="00D15A05">
        <w:rPr>
          <w:sz w:val="22"/>
          <w:szCs w:val="22"/>
          <w:lang w:val="en-ZA"/>
        </w:rPr>
        <w:t xml:space="preserve">the </w:t>
      </w:r>
      <w:r w:rsidRPr="00B72BD5">
        <w:rPr>
          <w:sz w:val="22"/>
          <w:szCs w:val="22"/>
          <w:lang w:val="en-ZA"/>
        </w:rPr>
        <w:t xml:space="preserve">development </w:t>
      </w:r>
      <w:r w:rsidR="00D15A05">
        <w:rPr>
          <w:sz w:val="22"/>
          <w:szCs w:val="22"/>
          <w:lang w:val="en-ZA"/>
        </w:rPr>
        <w:t xml:space="preserve">of </w:t>
      </w:r>
      <w:r w:rsidRPr="00B72BD5">
        <w:rPr>
          <w:sz w:val="22"/>
          <w:szCs w:val="22"/>
          <w:lang w:val="en-ZA"/>
        </w:rPr>
        <w:t xml:space="preserve">a wide range of </w:t>
      </w:r>
      <w:r w:rsidRPr="00B72BD5">
        <w:rPr>
          <w:i/>
          <w:iCs/>
          <w:sz w:val="22"/>
          <w:szCs w:val="22"/>
          <w:lang w:val="en-ZA"/>
        </w:rPr>
        <w:t>methods, workshops and processes</w:t>
      </w:r>
      <w:r w:rsidRPr="00B72BD5">
        <w:rPr>
          <w:sz w:val="22"/>
          <w:szCs w:val="22"/>
          <w:lang w:val="en-ZA"/>
        </w:rPr>
        <w:t xml:space="preserve"> to catalyse change through movement building, organisation development and advocacy (</w:t>
      </w:r>
      <w:proofErr w:type="gramStart"/>
      <w:r w:rsidRPr="00B72BD5">
        <w:rPr>
          <w:sz w:val="22"/>
          <w:szCs w:val="22"/>
          <w:lang w:val="en-ZA"/>
        </w:rPr>
        <w:t>e.g.</w:t>
      </w:r>
      <w:proofErr w:type="gramEnd"/>
      <w:r w:rsidRPr="00B72BD5">
        <w:rPr>
          <w:sz w:val="22"/>
          <w:szCs w:val="22"/>
          <w:lang w:val="en-ZA"/>
        </w:rPr>
        <w:t xml:space="preserve"> the Looking In, Looking Out [LILO] suite of workshops and processes). PV’s support and methods are highly appreciated by partners and participants, and the impact of its approach and methods is well documented.</w:t>
      </w:r>
      <w:r w:rsidRPr="00B72BD5">
        <w:rPr>
          <w:sz w:val="22"/>
          <w:szCs w:val="22"/>
          <w:vertAlign w:val="superscript"/>
          <w:lang w:val="en-ZA"/>
        </w:rPr>
        <w:footnoteReference w:id="12"/>
      </w:r>
      <w:r w:rsidRPr="00B72BD5">
        <w:rPr>
          <w:sz w:val="22"/>
          <w:szCs w:val="22"/>
          <w:lang w:val="en-ZA"/>
        </w:rPr>
        <w:t xml:space="preserve"> For more detail on PV methods, please see </w:t>
      </w:r>
      <w:r w:rsidR="00CD14A9">
        <w:rPr>
          <w:sz w:val="22"/>
          <w:szCs w:val="22"/>
          <w:lang w:val="en-ZA"/>
        </w:rPr>
        <w:t>Section 3</w:t>
      </w:r>
      <w:r w:rsidR="00CD4C36" w:rsidRPr="00B72BD5">
        <w:rPr>
          <w:sz w:val="22"/>
          <w:szCs w:val="22"/>
          <w:lang w:val="en-ZA"/>
        </w:rPr>
        <w:t>.</w:t>
      </w:r>
    </w:p>
    <w:p w14:paraId="15530D25" w14:textId="0906F501" w:rsidR="003835D8" w:rsidRDefault="00AB301E" w:rsidP="00711894">
      <w:pPr>
        <w:ind w:firstLine="357"/>
        <w:rPr>
          <w:sz w:val="22"/>
          <w:szCs w:val="22"/>
          <w:lang w:val="en-ZA"/>
        </w:rPr>
      </w:pPr>
      <w:r w:rsidRPr="00504FA4">
        <w:rPr>
          <w:sz w:val="22"/>
          <w:szCs w:val="22"/>
          <w:lang w:val="en-ZA"/>
        </w:rPr>
        <w:t>While the day</w:t>
      </w:r>
      <w:r w:rsidR="002B0BCC" w:rsidRPr="00504FA4">
        <w:rPr>
          <w:sz w:val="22"/>
          <w:szCs w:val="22"/>
          <w:lang w:val="en-ZA"/>
        </w:rPr>
        <w:t>-</w:t>
      </w:r>
      <w:r w:rsidRPr="00504FA4">
        <w:rPr>
          <w:sz w:val="22"/>
          <w:szCs w:val="22"/>
          <w:lang w:val="en-ZA"/>
        </w:rPr>
        <w:t>to</w:t>
      </w:r>
      <w:r w:rsidR="002B0BCC" w:rsidRPr="00504FA4">
        <w:rPr>
          <w:sz w:val="22"/>
          <w:szCs w:val="22"/>
          <w:lang w:val="en-ZA"/>
        </w:rPr>
        <w:t>-</w:t>
      </w:r>
      <w:r w:rsidRPr="00504FA4">
        <w:rPr>
          <w:sz w:val="22"/>
          <w:szCs w:val="22"/>
          <w:lang w:val="en-ZA"/>
        </w:rPr>
        <w:t>day partner in this project is the Namibia office of PV</w:t>
      </w:r>
      <w:r w:rsidR="00152955" w:rsidRPr="00504FA4">
        <w:rPr>
          <w:sz w:val="22"/>
          <w:szCs w:val="22"/>
          <w:lang w:val="en-ZA"/>
        </w:rPr>
        <w:t xml:space="preserve"> which is a semi-autonomous unit within PV, </w:t>
      </w:r>
      <w:r w:rsidR="00067E77" w:rsidRPr="00504FA4">
        <w:rPr>
          <w:sz w:val="22"/>
          <w:szCs w:val="22"/>
          <w:lang w:val="en-ZA"/>
        </w:rPr>
        <w:t xml:space="preserve">resource persons from the PV regional office in Cape Town will be centrally involved </w:t>
      </w:r>
      <w:r w:rsidR="0035404B" w:rsidRPr="00504FA4">
        <w:rPr>
          <w:sz w:val="22"/>
          <w:szCs w:val="22"/>
          <w:lang w:val="en-ZA"/>
        </w:rPr>
        <w:t xml:space="preserve">in strategic decision making and key </w:t>
      </w:r>
      <w:r w:rsidR="00972457" w:rsidRPr="00504FA4">
        <w:rPr>
          <w:sz w:val="22"/>
          <w:szCs w:val="22"/>
          <w:lang w:val="en-ZA"/>
        </w:rPr>
        <w:t xml:space="preserve">strategic </w:t>
      </w:r>
      <w:r w:rsidR="0035404B" w:rsidRPr="00504FA4">
        <w:rPr>
          <w:sz w:val="22"/>
          <w:szCs w:val="22"/>
          <w:lang w:val="en-ZA"/>
        </w:rPr>
        <w:t>activities.</w:t>
      </w:r>
      <w:r w:rsidR="00122FEA">
        <w:rPr>
          <w:sz w:val="22"/>
          <w:szCs w:val="22"/>
          <w:lang w:val="en-ZA"/>
        </w:rPr>
        <w:t xml:space="preserve"> The PV Namibia set up has </w:t>
      </w:r>
      <w:r w:rsidR="00387F81">
        <w:rPr>
          <w:sz w:val="22"/>
          <w:szCs w:val="22"/>
          <w:lang w:val="en-ZA"/>
        </w:rPr>
        <w:t xml:space="preserve">in the last year gone through a growth and consolidation process to adapt its structure and staffing to </w:t>
      </w:r>
      <w:r w:rsidR="00352428">
        <w:rPr>
          <w:sz w:val="22"/>
          <w:szCs w:val="22"/>
          <w:lang w:val="en-ZA"/>
        </w:rPr>
        <w:t>the increase in project activities and</w:t>
      </w:r>
      <w:r w:rsidR="00BE569D">
        <w:rPr>
          <w:sz w:val="22"/>
          <w:szCs w:val="22"/>
          <w:lang w:val="en-ZA"/>
        </w:rPr>
        <w:t xml:space="preserve"> </w:t>
      </w:r>
      <w:r w:rsidR="008B1CE3">
        <w:rPr>
          <w:sz w:val="22"/>
          <w:szCs w:val="22"/>
          <w:lang w:val="en-ZA"/>
        </w:rPr>
        <w:t xml:space="preserve">now </w:t>
      </w:r>
      <w:r w:rsidR="00BE569D">
        <w:rPr>
          <w:sz w:val="22"/>
          <w:szCs w:val="22"/>
          <w:lang w:val="en-ZA"/>
        </w:rPr>
        <w:t>has the necessary capacity to handle the additional work, including this project with Spor.</w:t>
      </w:r>
      <w:r w:rsidR="00A43918">
        <w:rPr>
          <w:sz w:val="22"/>
          <w:szCs w:val="22"/>
          <w:lang w:val="en-ZA"/>
        </w:rPr>
        <w:t xml:space="preserve"> </w:t>
      </w:r>
    </w:p>
    <w:p w14:paraId="66B350F9" w14:textId="77777777" w:rsidR="003835D8" w:rsidRPr="00B72BD5" w:rsidRDefault="003835D8" w:rsidP="00711894">
      <w:pPr>
        <w:ind w:firstLine="357"/>
        <w:rPr>
          <w:sz w:val="22"/>
          <w:szCs w:val="22"/>
          <w:lang w:val="en-ZA"/>
        </w:rPr>
      </w:pPr>
    </w:p>
    <w:p w14:paraId="613A7EC0" w14:textId="5A3A271F" w:rsidR="004324E0" w:rsidRPr="00B72BD5" w:rsidRDefault="004324E0" w:rsidP="00134C31">
      <w:pPr>
        <w:tabs>
          <w:tab w:val="left" w:pos="7120"/>
        </w:tabs>
        <w:rPr>
          <w:sz w:val="22"/>
          <w:szCs w:val="22"/>
          <w:lang w:val="en-ZA"/>
        </w:rPr>
      </w:pPr>
      <w:r w:rsidRPr="00B72BD5">
        <w:rPr>
          <w:b/>
          <w:sz w:val="22"/>
          <w:szCs w:val="22"/>
          <w:lang w:val="en-ZA"/>
        </w:rPr>
        <w:t>Spor Media</w:t>
      </w:r>
      <w:r w:rsidRPr="00B72BD5">
        <w:rPr>
          <w:sz w:val="22"/>
          <w:szCs w:val="22"/>
          <w:lang w:val="en-ZA"/>
        </w:rPr>
        <w:t xml:space="preserve"> </w:t>
      </w:r>
      <w:r w:rsidR="00134C31" w:rsidRPr="00B72BD5">
        <w:rPr>
          <w:sz w:val="22"/>
          <w:szCs w:val="22"/>
          <w:lang w:val="en-ZA"/>
        </w:rPr>
        <w:tab/>
      </w:r>
    </w:p>
    <w:p w14:paraId="1C1D7F5E" w14:textId="3D557B1A" w:rsidR="004324E0" w:rsidRPr="00B72BD5" w:rsidRDefault="004324E0" w:rsidP="00334B32">
      <w:pPr>
        <w:rPr>
          <w:sz w:val="22"/>
          <w:szCs w:val="22"/>
          <w:lang w:val="en-ZA"/>
        </w:rPr>
      </w:pPr>
      <w:r w:rsidRPr="00B72BD5">
        <w:rPr>
          <w:sz w:val="22"/>
          <w:szCs w:val="22"/>
          <w:lang w:val="en-ZA"/>
        </w:rPr>
        <w:t xml:space="preserve">Spor Media is a Danish association with 40 years of experience in visual communication and culture, focusing on cultural and social conditions in Africa, Latin </w:t>
      </w:r>
      <w:proofErr w:type="gramStart"/>
      <w:r w:rsidRPr="00B72BD5">
        <w:rPr>
          <w:sz w:val="22"/>
          <w:szCs w:val="22"/>
          <w:lang w:val="en-ZA"/>
        </w:rPr>
        <w:t>America</w:t>
      </w:r>
      <w:proofErr w:type="gramEnd"/>
      <w:r w:rsidRPr="00B72BD5">
        <w:rPr>
          <w:sz w:val="22"/>
          <w:szCs w:val="22"/>
          <w:lang w:val="en-ZA"/>
        </w:rPr>
        <w:t xml:space="preserve"> and Asia, and on creating links between South and North. Spor Media historically works with:</w:t>
      </w:r>
    </w:p>
    <w:p w14:paraId="32ABF70A" w14:textId="77777777" w:rsidR="004324E0" w:rsidRPr="00B72BD5" w:rsidRDefault="004324E0" w:rsidP="00407190">
      <w:pPr>
        <w:pStyle w:val="ListParagraph"/>
        <w:numPr>
          <w:ilvl w:val="0"/>
          <w:numId w:val="10"/>
        </w:numPr>
        <w:spacing w:after="0" w:line="240" w:lineRule="auto"/>
        <w:ind w:left="714" w:hanging="357"/>
        <w:rPr>
          <w:sz w:val="22"/>
          <w:lang w:val="en-ZA"/>
        </w:rPr>
      </w:pPr>
      <w:r w:rsidRPr="00B72BD5">
        <w:rPr>
          <w:sz w:val="22"/>
          <w:lang w:val="en-ZA"/>
        </w:rPr>
        <w:t>cooperation with organisations in the Global South concerning culture and media training for young people</w:t>
      </w:r>
    </w:p>
    <w:p w14:paraId="0A3115D3" w14:textId="77777777" w:rsidR="004324E0" w:rsidRPr="00B72BD5" w:rsidRDefault="004324E0" w:rsidP="00407190">
      <w:pPr>
        <w:pStyle w:val="ListParagraph"/>
        <w:numPr>
          <w:ilvl w:val="0"/>
          <w:numId w:val="10"/>
        </w:numPr>
        <w:spacing w:after="0" w:line="240" w:lineRule="auto"/>
        <w:ind w:left="714" w:hanging="357"/>
        <w:rPr>
          <w:sz w:val="22"/>
          <w:lang w:val="en-ZA"/>
        </w:rPr>
      </w:pPr>
      <w:r w:rsidRPr="00B72BD5">
        <w:rPr>
          <w:sz w:val="22"/>
          <w:lang w:val="en-ZA"/>
        </w:rPr>
        <w:t xml:space="preserve">peer-to-peer intercultural learning </w:t>
      </w:r>
    </w:p>
    <w:p w14:paraId="181EF54E" w14:textId="77777777" w:rsidR="004324E0" w:rsidRPr="00B72BD5" w:rsidRDefault="004324E0" w:rsidP="00407190">
      <w:pPr>
        <w:pStyle w:val="ListParagraph"/>
        <w:numPr>
          <w:ilvl w:val="0"/>
          <w:numId w:val="10"/>
        </w:numPr>
        <w:spacing w:after="0" w:line="240" w:lineRule="auto"/>
        <w:ind w:left="714" w:hanging="357"/>
        <w:rPr>
          <w:sz w:val="22"/>
          <w:lang w:val="en-ZA"/>
        </w:rPr>
      </w:pPr>
      <w:r w:rsidRPr="00B72BD5">
        <w:rPr>
          <w:sz w:val="22"/>
          <w:lang w:val="en-ZA"/>
        </w:rPr>
        <w:t>production of web-based teaching materials</w:t>
      </w:r>
    </w:p>
    <w:p w14:paraId="76B566E8" w14:textId="77777777" w:rsidR="004324E0" w:rsidRPr="00B72BD5" w:rsidRDefault="004324E0" w:rsidP="00407190">
      <w:pPr>
        <w:pStyle w:val="ListParagraph"/>
        <w:numPr>
          <w:ilvl w:val="0"/>
          <w:numId w:val="10"/>
        </w:numPr>
        <w:spacing w:after="0" w:line="240" w:lineRule="auto"/>
        <w:ind w:left="714" w:hanging="357"/>
        <w:rPr>
          <w:sz w:val="22"/>
          <w:lang w:val="en-ZA"/>
        </w:rPr>
      </w:pPr>
      <w:r w:rsidRPr="00B72BD5">
        <w:rPr>
          <w:sz w:val="22"/>
          <w:lang w:val="en-ZA"/>
        </w:rPr>
        <w:t>production of documentaries</w:t>
      </w:r>
    </w:p>
    <w:p w14:paraId="2839CD9D" w14:textId="77777777" w:rsidR="004324E0" w:rsidRPr="00B72BD5" w:rsidRDefault="004324E0" w:rsidP="00AD26A4">
      <w:pPr>
        <w:ind w:firstLine="357"/>
        <w:rPr>
          <w:sz w:val="22"/>
          <w:szCs w:val="22"/>
          <w:lang w:val="en-ZA"/>
        </w:rPr>
      </w:pPr>
      <w:r w:rsidRPr="00B72BD5">
        <w:rPr>
          <w:sz w:val="22"/>
          <w:szCs w:val="22"/>
          <w:lang w:val="en-ZA"/>
        </w:rPr>
        <w:t xml:space="preserve">Spor Media is an organisation with a board and active members from all over Denmark – many of them with experiences from development assistance activities, communication, and education/training, and many with a Namibia background. </w:t>
      </w:r>
    </w:p>
    <w:p w14:paraId="796642E7" w14:textId="17576AE5" w:rsidR="00774E60" w:rsidRPr="00B72BD5" w:rsidRDefault="004324E0" w:rsidP="00AD26A4">
      <w:pPr>
        <w:ind w:firstLine="357"/>
        <w:rPr>
          <w:sz w:val="22"/>
          <w:szCs w:val="22"/>
          <w:lang w:val="en-ZA"/>
        </w:rPr>
      </w:pPr>
      <w:r w:rsidRPr="00B72BD5">
        <w:rPr>
          <w:sz w:val="22"/>
          <w:szCs w:val="22"/>
          <w:lang w:val="en-ZA"/>
        </w:rPr>
        <w:t xml:space="preserve">In </w:t>
      </w:r>
      <w:r w:rsidR="00EA0503">
        <w:rPr>
          <w:sz w:val="22"/>
          <w:szCs w:val="22"/>
          <w:lang w:val="en-ZA"/>
        </w:rPr>
        <w:t>the last 10</w:t>
      </w:r>
      <w:r w:rsidR="00EA0503" w:rsidRPr="00B72BD5">
        <w:rPr>
          <w:sz w:val="22"/>
          <w:szCs w:val="22"/>
          <w:lang w:val="en-ZA"/>
        </w:rPr>
        <w:t xml:space="preserve"> </w:t>
      </w:r>
      <w:r w:rsidRPr="00B72BD5">
        <w:rPr>
          <w:sz w:val="22"/>
          <w:szCs w:val="22"/>
          <w:lang w:val="en-ZA"/>
        </w:rPr>
        <w:t xml:space="preserve">years </w:t>
      </w:r>
      <w:r w:rsidR="008E301A">
        <w:rPr>
          <w:sz w:val="22"/>
          <w:szCs w:val="22"/>
          <w:lang w:val="en-ZA"/>
        </w:rPr>
        <w:t>Spor Media</w:t>
      </w:r>
      <w:r w:rsidRPr="00B72BD5">
        <w:rPr>
          <w:sz w:val="22"/>
          <w:szCs w:val="22"/>
          <w:lang w:val="en-ZA"/>
        </w:rPr>
        <w:t xml:space="preserve"> has </w:t>
      </w:r>
      <w:r w:rsidR="00EA0503">
        <w:rPr>
          <w:sz w:val="22"/>
          <w:szCs w:val="22"/>
          <w:lang w:val="en-ZA"/>
        </w:rPr>
        <w:t xml:space="preserve">gradually </w:t>
      </w:r>
      <w:r w:rsidRPr="00B72BD5">
        <w:rPr>
          <w:sz w:val="22"/>
          <w:szCs w:val="22"/>
          <w:lang w:val="en-ZA"/>
        </w:rPr>
        <w:t xml:space="preserve">gained additional experiences from cultural and communication activities aimed at strengthening the self-esteem of young people from poor or marginalised </w:t>
      </w:r>
      <w:r w:rsidR="005F636F" w:rsidRPr="00B72BD5">
        <w:rPr>
          <w:sz w:val="22"/>
          <w:szCs w:val="22"/>
          <w:lang w:val="en-ZA"/>
        </w:rPr>
        <w:t xml:space="preserve">backgrounds </w:t>
      </w:r>
      <w:r w:rsidR="00A55906">
        <w:rPr>
          <w:sz w:val="22"/>
          <w:szCs w:val="22"/>
          <w:lang w:val="en-ZA"/>
        </w:rPr>
        <w:t xml:space="preserve">in cooperation with socio-cultural organisations in the Global South </w:t>
      </w:r>
      <w:r w:rsidR="005F636F" w:rsidRPr="00B72BD5">
        <w:rPr>
          <w:sz w:val="22"/>
          <w:szCs w:val="22"/>
          <w:lang w:val="en-ZA"/>
        </w:rPr>
        <w:t>and</w:t>
      </w:r>
      <w:r w:rsidRPr="00B72BD5">
        <w:rPr>
          <w:sz w:val="22"/>
          <w:szCs w:val="22"/>
          <w:lang w:val="en-ZA"/>
        </w:rPr>
        <w:t xml:space="preserve"> has </w:t>
      </w:r>
      <w:r w:rsidRPr="00B72BD5">
        <w:rPr>
          <w:sz w:val="22"/>
          <w:szCs w:val="22"/>
          <w:lang w:val="en-ZA"/>
        </w:rPr>
        <w:lastRenderedPageBreak/>
        <w:t>developed its capacity to handle larger development and cultural exchange projects</w:t>
      </w:r>
      <w:r w:rsidR="00A55906">
        <w:rPr>
          <w:sz w:val="22"/>
          <w:szCs w:val="22"/>
          <w:lang w:val="en-ZA"/>
        </w:rPr>
        <w:t xml:space="preserve">. In cooperation with long-term partners, Spor Media </w:t>
      </w:r>
      <w:proofErr w:type="gramStart"/>
      <w:r w:rsidR="00A55906">
        <w:rPr>
          <w:sz w:val="22"/>
          <w:szCs w:val="22"/>
          <w:lang w:val="en-ZA"/>
        </w:rPr>
        <w:t>make</w:t>
      </w:r>
      <w:proofErr w:type="gramEnd"/>
      <w:r w:rsidR="00A55906">
        <w:rPr>
          <w:sz w:val="22"/>
          <w:szCs w:val="22"/>
          <w:lang w:val="en-ZA"/>
        </w:rPr>
        <w:t xml:space="preserve"> direct links between development and information activities and between youth in the Global South and in Denmark. </w:t>
      </w:r>
      <w:r w:rsidR="0050766D">
        <w:rPr>
          <w:sz w:val="22"/>
          <w:szCs w:val="22"/>
          <w:lang w:val="en-ZA"/>
        </w:rPr>
        <w:t xml:space="preserve">Please see as an example </w:t>
      </w:r>
      <w:r w:rsidR="00A55906">
        <w:rPr>
          <w:sz w:val="22"/>
          <w:szCs w:val="22"/>
          <w:lang w:val="en-ZA"/>
        </w:rPr>
        <w:t>The</w:t>
      </w:r>
      <w:r w:rsidR="008F38FD">
        <w:rPr>
          <w:sz w:val="22"/>
          <w:szCs w:val="22"/>
          <w:lang w:val="en-ZA"/>
        </w:rPr>
        <w:t xml:space="preserve"> </w:t>
      </w:r>
      <w:hyperlink r:id="rId15" w:history="1">
        <w:r w:rsidR="008F38FD" w:rsidRPr="008F38FD">
          <w:rPr>
            <w:rStyle w:val="Hyperlink"/>
            <w:sz w:val="22"/>
            <w:szCs w:val="22"/>
            <w:lang w:val="en-ZA"/>
          </w:rPr>
          <w:t>Global Stay Tour Project</w:t>
        </w:r>
      </w:hyperlink>
      <w:r w:rsidR="008F38FD">
        <w:rPr>
          <w:sz w:val="22"/>
          <w:szCs w:val="22"/>
          <w:lang w:val="en-ZA"/>
        </w:rPr>
        <w:t xml:space="preserve"> - organising virtual study tours for Danish students to Kenya and Bolivia</w:t>
      </w:r>
      <w:r w:rsidRPr="00165CB5">
        <w:rPr>
          <w:sz w:val="22"/>
          <w:szCs w:val="22"/>
          <w:lang w:val="en-ZA"/>
        </w:rPr>
        <w:t>. Since 2018, the organisation has brought</w:t>
      </w:r>
      <w:r w:rsidR="007F7F47" w:rsidRPr="00165CB5">
        <w:rPr>
          <w:sz w:val="22"/>
          <w:szCs w:val="22"/>
          <w:lang w:val="en-ZA"/>
        </w:rPr>
        <w:t xml:space="preserve"> </w:t>
      </w:r>
      <w:r w:rsidR="005F636F" w:rsidRPr="00165CB5">
        <w:rPr>
          <w:sz w:val="22"/>
          <w:szCs w:val="22"/>
          <w:lang w:val="en-ZA"/>
        </w:rPr>
        <w:t xml:space="preserve">substantial, </w:t>
      </w:r>
      <w:r w:rsidRPr="00165CB5">
        <w:rPr>
          <w:sz w:val="22"/>
          <w:szCs w:val="22"/>
          <w:lang w:val="en-ZA"/>
        </w:rPr>
        <w:t>resource mobilisation training and support capacity on board, as well as additional programme development and management capacity</w:t>
      </w:r>
      <w:r w:rsidR="00AB00ED" w:rsidRPr="00165CB5">
        <w:rPr>
          <w:sz w:val="22"/>
          <w:szCs w:val="22"/>
          <w:lang w:val="en-ZA"/>
        </w:rPr>
        <w:t>.</w:t>
      </w:r>
      <w:r w:rsidR="00AB00ED" w:rsidRPr="00B72BD5">
        <w:rPr>
          <w:b/>
          <w:bCs/>
          <w:sz w:val="22"/>
          <w:szCs w:val="22"/>
          <w:lang w:val="en-ZA"/>
        </w:rPr>
        <w:t xml:space="preserve"> </w:t>
      </w:r>
      <w:r w:rsidR="00AB00ED" w:rsidRPr="00B72BD5">
        <w:rPr>
          <w:sz w:val="22"/>
          <w:szCs w:val="22"/>
          <w:lang w:val="en-ZA"/>
        </w:rPr>
        <w:t xml:space="preserve">This </w:t>
      </w:r>
      <w:r w:rsidR="00B6261B" w:rsidRPr="00B72BD5">
        <w:rPr>
          <w:sz w:val="22"/>
          <w:szCs w:val="22"/>
          <w:lang w:val="en-ZA"/>
        </w:rPr>
        <w:t>strengthening of the organisation has happened both at secretariat and board level</w:t>
      </w:r>
      <w:r w:rsidR="006847D8" w:rsidRPr="00B72BD5">
        <w:rPr>
          <w:sz w:val="22"/>
          <w:szCs w:val="22"/>
          <w:lang w:val="en-ZA"/>
        </w:rPr>
        <w:t xml:space="preserve"> where decades </w:t>
      </w:r>
      <w:r w:rsidR="0060322A" w:rsidRPr="00B72BD5">
        <w:rPr>
          <w:sz w:val="22"/>
          <w:szCs w:val="22"/>
          <w:lang w:val="en-ZA"/>
        </w:rPr>
        <w:t xml:space="preserve">of </w:t>
      </w:r>
      <w:r w:rsidR="000C570D" w:rsidRPr="00B72BD5">
        <w:rPr>
          <w:sz w:val="22"/>
          <w:szCs w:val="22"/>
          <w:lang w:val="en-ZA"/>
        </w:rPr>
        <w:t xml:space="preserve">senior leadership </w:t>
      </w:r>
      <w:r w:rsidR="00541329" w:rsidRPr="00B72BD5">
        <w:rPr>
          <w:sz w:val="22"/>
          <w:szCs w:val="22"/>
          <w:lang w:val="en-ZA"/>
        </w:rPr>
        <w:t xml:space="preserve">and fundraising </w:t>
      </w:r>
      <w:r w:rsidR="0060322A" w:rsidRPr="00B72BD5">
        <w:rPr>
          <w:sz w:val="22"/>
          <w:szCs w:val="22"/>
          <w:lang w:val="en-ZA"/>
        </w:rPr>
        <w:t>experiences from</w:t>
      </w:r>
      <w:r w:rsidR="00EB5CC5" w:rsidRPr="00B72BD5">
        <w:rPr>
          <w:sz w:val="22"/>
          <w:szCs w:val="22"/>
          <w:lang w:val="en-ZA"/>
        </w:rPr>
        <w:t xml:space="preserve"> </w:t>
      </w:r>
      <w:proofErr w:type="gramStart"/>
      <w:r w:rsidR="00EB5CC5" w:rsidRPr="00B72BD5">
        <w:rPr>
          <w:sz w:val="22"/>
          <w:szCs w:val="22"/>
          <w:lang w:val="en-ZA"/>
        </w:rPr>
        <w:t>e.g.</w:t>
      </w:r>
      <w:proofErr w:type="gramEnd"/>
      <w:r w:rsidR="0060322A" w:rsidRPr="00B72BD5">
        <w:rPr>
          <w:sz w:val="22"/>
          <w:szCs w:val="22"/>
          <w:lang w:val="en-ZA"/>
        </w:rPr>
        <w:t xml:space="preserve"> </w:t>
      </w:r>
      <w:r w:rsidR="00366EC0" w:rsidRPr="00B72BD5">
        <w:rPr>
          <w:sz w:val="22"/>
          <w:szCs w:val="22"/>
          <w:lang w:val="en-ZA"/>
        </w:rPr>
        <w:t xml:space="preserve">two </w:t>
      </w:r>
      <w:r w:rsidR="0060322A" w:rsidRPr="00B72BD5">
        <w:rPr>
          <w:sz w:val="22"/>
          <w:szCs w:val="22"/>
          <w:lang w:val="en-ZA"/>
        </w:rPr>
        <w:t xml:space="preserve">major Danish NGOs have been added to </w:t>
      </w:r>
      <w:r w:rsidR="008E301A">
        <w:rPr>
          <w:sz w:val="22"/>
          <w:szCs w:val="22"/>
          <w:lang w:val="en-ZA"/>
        </w:rPr>
        <w:t>Spor Media</w:t>
      </w:r>
      <w:r w:rsidR="0060322A" w:rsidRPr="00B72BD5">
        <w:rPr>
          <w:sz w:val="22"/>
          <w:szCs w:val="22"/>
          <w:lang w:val="en-ZA"/>
        </w:rPr>
        <w:t>’s already substantial experiences.</w:t>
      </w:r>
      <w:r w:rsidR="00492CD9" w:rsidRPr="00B72BD5">
        <w:rPr>
          <w:sz w:val="22"/>
          <w:szCs w:val="22"/>
          <w:lang w:val="en-ZA"/>
        </w:rPr>
        <w:t xml:space="preserve"> </w:t>
      </w:r>
    </w:p>
    <w:p w14:paraId="4C91D946" w14:textId="0E370924" w:rsidR="004324E0" w:rsidRDefault="008E301A" w:rsidP="00AD26A4">
      <w:pPr>
        <w:ind w:firstLine="357"/>
        <w:rPr>
          <w:sz w:val="22"/>
          <w:szCs w:val="22"/>
          <w:lang w:val="en-ZA"/>
        </w:rPr>
      </w:pPr>
      <w:r>
        <w:rPr>
          <w:sz w:val="22"/>
          <w:szCs w:val="22"/>
          <w:lang w:val="en-ZA"/>
        </w:rPr>
        <w:t>Spor Media</w:t>
      </w:r>
      <w:r w:rsidR="004324E0" w:rsidRPr="00B72BD5">
        <w:rPr>
          <w:sz w:val="22"/>
          <w:szCs w:val="22"/>
          <w:lang w:val="en-ZA"/>
        </w:rPr>
        <w:t xml:space="preserve"> has a strong network of partners in Denmark, </w:t>
      </w:r>
      <w:proofErr w:type="gramStart"/>
      <w:r w:rsidR="004324E0" w:rsidRPr="00B72BD5">
        <w:rPr>
          <w:sz w:val="22"/>
          <w:szCs w:val="22"/>
          <w:lang w:val="en-ZA"/>
        </w:rPr>
        <w:t>in particular in</w:t>
      </w:r>
      <w:proofErr w:type="gramEnd"/>
      <w:r w:rsidR="004324E0" w:rsidRPr="00B72BD5">
        <w:rPr>
          <w:sz w:val="22"/>
          <w:szCs w:val="22"/>
          <w:lang w:val="en-ZA"/>
        </w:rPr>
        <w:t xml:space="preserve"> Schools</w:t>
      </w:r>
      <w:r w:rsidR="00333832">
        <w:rPr>
          <w:sz w:val="22"/>
          <w:szCs w:val="22"/>
          <w:lang w:val="en-ZA"/>
        </w:rPr>
        <w:t xml:space="preserve">, </w:t>
      </w:r>
      <w:proofErr w:type="spellStart"/>
      <w:r w:rsidR="00333832">
        <w:rPr>
          <w:sz w:val="22"/>
          <w:szCs w:val="22"/>
          <w:lang w:val="en-ZA"/>
        </w:rPr>
        <w:t>Highschools</w:t>
      </w:r>
      <w:proofErr w:type="spellEnd"/>
      <w:r w:rsidR="008F38FD">
        <w:rPr>
          <w:sz w:val="22"/>
          <w:szCs w:val="22"/>
          <w:lang w:val="en-ZA"/>
        </w:rPr>
        <w:t xml:space="preserve"> (</w:t>
      </w:r>
      <w:r w:rsidR="009F02DF">
        <w:rPr>
          <w:sz w:val="22"/>
          <w:szCs w:val="22"/>
          <w:lang w:val="en-ZA"/>
        </w:rPr>
        <w:t xml:space="preserve">Spor Media cooperates closely </w:t>
      </w:r>
      <w:r w:rsidR="008F38FD">
        <w:rPr>
          <w:sz w:val="22"/>
          <w:szCs w:val="22"/>
          <w:lang w:val="en-ZA"/>
        </w:rPr>
        <w:t xml:space="preserve">with </w:t>
      </w:r>
      <w:proofErr w:type="spellStart"/>
      <w:r w:rsidR="008F38FD">
        <w:rPr>
          <w:sz w:val="22"/>
          <w:szCs w:val="22"/>
          <w:lang w:val="en-ZA"/>
        </w:rPr>
        <w:t>Globale</w:t>
      </w:r>
      <w:proofErr w:type="spellEnd"/>
      <w:r w:rsidR="008F38FD">
        <w:rPr>
          <w:sz w:val="22"/>
          <w:szCs w:val="22"/>
          <w:lang w:val="en-ZA"/>
        </w:rPr>
        <w:t xml:space="preserve"> </w:t>
      </w:r>
      <w:proofErr w:type="spellStart"/>
      <w:r w:rsidR="008F38FD">
        <w:rPr>
          <w:sz w:val="22"/>
          <w:szCs w:val="22"/>
          <w:lang w:val="en-ZA"/>
        </w:rPr>
        <w:t>Gymnasier</w:t>
      </w:r>
      <w:proofErr w:type="spellEnd"/>
      <w:r w:rsidR="008F38FD">
        <w:rPr>
          <w:sz w:val="22"/>
          <w:szCs w:val="22"/>
          <w:lang w:val="en-ZA"/>
        </w:rPr>
        <w:t>)</w:t>
      </w:r>
      <w:r w:rsidR="00333832">
        <w:rPr>
          <w:sz w:val="22"/>
          <w:szCs w:val="22"/>
          <w:lang w:val="en-ZA"/>
        </w:rPr>
        <w:t>,</w:t>
      </w:r>
      <w:r w:rsidR="004324E0" w:rsidRPr="00B72BD5">
        <w:rPr>
          <w:sz w:val="22"/>
          <w:szCs w:val="22"/>
          <w:lang w:val="en-ZA"/>
        </w:rPr>
        <w:t xml:space="preserve"> and Youth Schools (</w:t>
      </w:r>
      <w:proofErr w:type="spellStart"/>
      <w:r w:rsidR="004324E0" w:rsidRPr="00B72BD5">
        <w:rPr>
          <w:sz w:val="22"/>
          <w:szCs w:val="22"/>
          <w:lang w:val="en-ZA"/>
        </w:rPr>
        <w:t>Efterskoler</w:t>
      </w:r>
      <w:proofErr w:type="spellEnd"/>
      <w:r w:rsidR="004324E0" w:rsidRPr="00B72BD5">
        <w:rPr>
          <w:sz w:val="22"/>
          <w:szCs w:val="22"/>
          <w:lang w:val="en-ZA"/>
        </w:rPr>
        <w:t xml:space="preserve">) across the country, with particular strong links in the municipalities of </w:t>
      </w:r>
      <w:proofErr w:type="spellStart"/>
      <w:r w:rsidR="004324E0" w:rsidRPr="00B72BD5">
        <w:rPr>
          <w:sz w:val="22"/>
          <w:szCs w:val="22"/>
          <w:lang w:val="en-ZA"/>
        </w:rPr>
        <w:t>Kalundborg</w:t>
      </w:r>
      <w:proofErr w:type="spellEnd"/>
      <w:r w:rsidR="008F38FD">
        <w:rPr>
          <w:sz w:val="22"/>
          <w:szCs w:val="22"/>
          <w:lang w:val="en-ZA"/>
        </w:rPr>
        <w:t xml:space="preserve"> and</w:t>
      </w:r>
      <w:r w:rsidR="008F38FD" w:rsidRPr="00B72BD5">
        <w:rPr>
          <w:sz w:val="22"/>
          <w:szCs w:val="22"/>
          <w:lang w:val="en-ZA"/>
        </w:rPr>
        <w:t xml:space="preserve"> </w:t>
      </w:r>
      <w:r w:rsidR="004324E0" w:rsidRPr="00B72BD5">
        <w:rPr>
          <w:sz w:val="22"/>
          <w:szCs w:val="22"/>
          <w:lang w:val="en-ZA"/>
        </w:rPr>
        <w:t>Sønderborg.</w:t>
      </w:r>
    </w:p>
    <w:p w14:paraId="7E6B2C54" w14:textId="50632EBA" w:rsidR="00B2700A" w:rsidRDefault="00B81508" w:rsidP="00AD26A4">
      <w:pPr>
        <w:ind w:firstLine="357"/>
        <w:rPr>
          <w:sz w:val="22"/>
          <w:szCs w:val="22"/>
          <w:lang w:val="en-ZA"/>
        </w:rPr>
      </w:pPr>
      <w:r>
        <w:rPr>
          <w:sz w:val="22"/>
          <w:szCs w:val="22"/>
          <w:lang w:val="en-ZA"/>
        </w:rPr>
        <w:t>Fo</w:t>
      </w:r>
      <w:r w:rsidR="006952D6">
        <w:rPr>
          <w:sz w:val="22"/>
          <w:szCs w:val="22"/>
          <w:lang w:val="en-ZA"/>
        </w:rPr>
        <w:t>r</w:t>
      </w:r>
      <w:r>
        <w:rPr>
          <w:sz w:val="22"/>
          <w:szCs w:val="22"/>
          <w:lang w:val="en-ZA"/>
        </w:rPr>
        <w:t xml:space="preserve"> each of Spor Medias </w:t>
      </w:r>
      <w:r w:rsidR="006952D6">
        <w:rPr>
          <w:sz w:val="22"/>
          <w:szCs w:val="22"/>
          <w:lang w:val="en-ZA"/>
        </w:rPr>
        <w:t>activity areas there is one point person/programme</w:t>
      </w:r>
      <w:r w:rsidR="00FB1C9F">
        <w:rPr>
          <w:sz w:val="22"/>
          <w:szCs w:val="22"/>
          <w:lang w:val="en-ZA"/>
        </w:rPr>
        <w:t>-</w:t>
      </w:r>
      <w:r w:rsidR="006952D6">
        <w:rPr>
          <w:sz w:val="22"/>
          <w:szCs w:val="22"/>
          <w:lang w:val="en-ZA"/>
        </w:rPr>
        <w:t>/project manager</w:t>
      </w:r>
      <w:r w:rsidR="00FB1C9F">
        <w:rPr>
          <w:sz w:val="22"/>
          <w:szCs w:val="22"/>
          <w:lang w:val="en-ZA"/>
        </w:rPr>
        <w:t xml:space="preserve"> who holds the overall responsibility for coordinating this </w:t>
      </w:r>
      <w:proofErr w:type="gramStart"/>
      <w:r w:rsidR="00FB1C9F">
        <w:rPr>
          <w:sz w:val="22"/>
          <w:szCs w:val="22"/>
          <w:lang w:val="en-ZA"/>
        </w:rPr>
        <w:t>particular area</w:t>
      </w:r>
      <w:proofErr w:type="gramEnd"/>
      <w:r w:rsidR="00FB1C9F">
        <w:rPr>
          <w:sz w:val="22"/>
          <w:szCs w:val="22"/>
          <w:lang w:val="en-ZA"/>
        </w:rPr>
        <w:t xml:space="preserve"> of work</w:t>
      </w:r>
      <w:r w:rsidR="00A62CCD">
        <w:rPr>
          <w:sz w:val="22"/>
          <w:szCs w:val="22"/>
          <w:lang w:val="en-ZA"/>
        </w:rPr>
        <w:t xml:space="preserve"> including the coordination of the involvement of Spor Media volunteers in </w:t>
      </w:r>
      <w:r w:rsidR="007D16AC">
        <w:rPr>
          <w:sz w:val="22"/>
          <w:szCs w:val="22"/>
          <w:lang w:val="en-ZA"/>
        </w:rPr>
        <w:t>the work.</w:t>
      </w:r>
      <w:r w:rsidR="00EF11AF">
        <w:rPr>
          <w:sz w:val="22"/>
          <w:szCs w:val="22"/>
          <w:lang w:val="en-ZA"/>
        </w:rPr>
        <w:t xml:space="preserve"> These point persons</w:t>
      </w:r>
      <w:r w:rsidR="00EF0F2E">
        <w:rPr>
          <w:sz w:val="22"/>
          <w:szCs w:val="22"/>
          <w:lang w:val="en-ZA"/>
        </w:rPr>
        <w:t xml:space="preserve">, at present </w:t>
      </w:r>
      <w:r w:rsidR="00361BE3">
        <w:rPr>
          <w:sz w:val="22"/>
          <w:szCs w:val="22"/>
          <w:lang w:val="en-ZA"/>
        </w:rPr>
        <w:t xml:space="preserve">4, </w:t>
      </w:r>
      <w:r w:rsidR="008F38FD">
        <w:rPr>
          <w:sz w:val="22"/>
          <w:szCs w:val="22"/>
          <w:lang w:val="en-ZA"/>
        </w:rPr>
        <w:t xml:space="preserve">work partly on a voluntary basis and </w:t>
      </w:r>
      <w:r w:rsidR="00361BE3">
        <w:rPr>
          <w:sz w:val="22"/>
          <w:szCs w:val="22"/>
          <w:lang w:val="en-ZA"/>
        </w:rPr>
        <w:t>are</w:t>
      </w:r>
      <w:r w:rsidR="00EF11AF">
        <w:rPr>
          <w:sz w:val="22"/>
          <w:szCs w:val="22"/>
          <w:lang w:val="en-ZA"/>
        </w:rPr>
        <w:t xml:space="preserve"> partly funded out of the projects</w:t>
      </w:r>
      <w:r w:rsidR="00EF0F2E">
        <w:rPr>
          <w:sz w:val="22"/>
          <w:szCs w:val="22"/>
          <w:lang w:val="en-ZA"/>
        </w:rPr>
        <w:t xml:space="preserve"> </w:t>
      </w:r>
      <w:r w:rsidR="000B1BEB">
        <w:rPr>
          <w:sz w:val="22"/>
          <w:szCs w:val="22"/>
          <w:lang w:val="en-ZA"/>
        </w:rPr>
        <w:t>they are in charge</w:t>
      </w:r>
      <w:r w:rsidR="008F38FD">
        <w:rPr>
          <w:sz w:val="22"/>
          <w:szCs w:val="22"/>
          <w:lang w:val="en-ZA"/>
        </w:rPr>
        <w:t>. T</w:t>
      </w:r>
      <w:r w:rsidR="00EF0F2E">
        <w:rPr>
          <w:sz w:val="22"/>
          <w:szCs w:val="22"/>
          <w:lang w:val="en-ZA"/>
        </w:rPr>
        <w:t xml:space="preserve">hey work closely together to secure </w:t>
      </w:r>
      <w:r w:rsidR="000C7D8C">
        <w:rPr>
          <w:sz w:val="22"/>
          <w:szCs w:val="22"/>
          <w:lang w:val="en-ZA"/>
        </w:rPr>
        <w:t>coherence and learning between the different work areas.</w:t>
      </w:r>
      <w:r w:rsidR="000B1BEB">
        <w:rPr>
          <w:sz w:val="22"/>
          <w:szCs w:val="22"/>
          <w:lang w:val="en-ZA"/>
        </w:rPr>
        <w:t xml:space="preserve"> </w:t>
      </w:r>
    </w:p>
    <w:p w14:paraId="0D391A30" w14:textId="77777777" w:rsidR="0062175F" w:rsidRPr="00B72BD5" w:rsidRDefault="0062175F" w:rsidP="00AD26A4">
      <w:pPr>
        <w:ind w:firstLine="357"/>
        <w:rPr>
          <w:sz w:val="22"/>
          <w:szCs w:val="22"/>
          <w:lang w:val="en-ZA"/>
        </w:rPr>
      </w:pPr>
    </w:p>
    <w:p w14:paraId="477984B4" w14:textId="77777777" w:rsidR="00375C36" w:rsidRPr="00B17D23" w:rsidRDefault="00375C36" w:rsidP="00375C36">
      <w:pPr>
        <w:rPr>
          <w:sz w:val="22"/>
          <w:szCs w:val="22"/>
          <w:lang w:val="en-ZA"/>
        </w:rPr>
      </w:pPr>
      <w:r w:rsidRPr="00B17D23">
        <w:rPr>
          <w:b/>
          <w:bCs/>
          <w:sz w:val="22"/>
          <w:szCs w:val="22"/>
          <w:lang w:val="en-ZA"/>
        </w:rPr>
        <w:t>Civil society actors in Namibia</w:t>
      </w:r>
      <w:r w:rsidRPr="00B17D23">
        <w:rPr>
          <w:sz w:val="22"/>
          <w:szCs w:val="22"/>
          <w:lang w:val="en-ZA"/>
        </w:rPr>
        <w:t xml:space="preserve">: </w:t>
      </w:r>
    </w:p>
    <w:p w14:paraId="1BE4D338" w14:textId="4C9E2A41" w:rsidR="00375C36" w:rsidRDefault="00375C36" w:rsidP="00375C36">
      <w:pPr>
        <w:rPr>
          <w:sz w:val="22"/>
          <w:szCs w:val="22"/>
          <w:lang w:val="en-ZA"/>
        </w:rPr>
      </w:pPr>
      <w:r w:rsidRPr="00B17D23">
        <w:rPr>
          <w:sz w:val="22"/>
          <w:szCs w:val="22"/>
          <w:lang w:val="en-ZA"/>
        </w:rPr>
        <w:t xml:space="preserve">A range of CSOs, and more informal, community-level organisations representing or supporting the target groups, will be involved in this intervention. </w:t>
      </w:r>
      <w:r w:rsidR="00667FB2">
        <w:rPr>
          <w:sz w:val="22"/>
          <w:szCs w:val="22"/>
          <w:lang w:val="en-ZA"/>
        </w:rPr>
        <w:t>These are all</w:t>
      </w:r>
      <w:r w:rsidRPr="00B17D23">
        <w:rPr>
          <w:sz w:val="22"/>
          <w:szCs w:val="22"/>
          <w:lang w:val="en-ZA"/>
        </w:rPr>
        <w:t xml:space="preserve">e PV partners from previous or ongoing work. The requirement for all partner selection was local presence and extensive community reach within selected local communities.  Below follows a brief overview of partners: </w:t>
      </w:r>
    </w:p>
    <w:p w14:paraId="1828C288" w14:textId="77777777" w:rsidR="007B60A9" w:rsidRDefault="007B60A9" w:rsidP="00AA670F">
      <w:pPr>
        <w:jc w:val="both"/>
        <w:rPr>
          <w:rFonts w:asciiTheme="majorHAnsi" w:eastAsia="Georgia" w:hAnsiTheme="majorHAnsi" w:cstheme="majorHAnsi"/>
          <w:b/>
          <w:sz w:val="22"/>
          <w:szCs w:val="22"/>
          <w:u w:val="single"/>
          <w:lang w:val="en-ZA"/>
        </w:rPr>
      </w:pPr>
    </w:p>
    <w:p w14:paraId="624C6AE3" w14:textId="55C3FE40" w:rsidR="00FA28EE" w:rsidRDefault="00FA28EE" w:rsidP="009379F0">
      <w:pPr>
        <w:rPr>
          <w:sz w:val="22"/>
          <w:szCs w:val="22"/>
          <w:lang w:val="en-ZA"/>
        </w:rPr>
      </w:pPr>
      <w:r w:rsidRPr="007742C2">
        <w:rPr>
          <w:b/>
          <w:bCs/>
          <w:sz w:val="22"/>
          <w:szCs w:val="22"/>
          <w:lang w:val="en-ZA"/>
        </w:rPr>
        <w:t>Y-Fem Namibia</w:t>
      </w:r>
      <w:r w:rsidRPr="00B17D23">
        <w:rPr>
          <w:sz w:val="22"/>
          <w:szCs w:val="22"/>
          <w:lang w:val="en-ZA"/>
        </w:rPr>
        <w:t xml:space="preserve"> is an activist-led feminist women’s human rights organization. It was founded in 2009 and responds in proactive ways through campaigns and one on one leadership development, mentorship of young women and agency by promoting and protecting young women. Their aim to build an inclusive and intersectional feminist movement of young women and girls in Namibia that know and can claim their full human rights as persons as active citizens. Y</w:t>
      </w:r>
      <w:r w:rsidR="001911C8">
        <w:rPr>
          <w:sz w:val="22"/>
          <w:szCs w:val="22"/>
          <w:lang w:val="en-ZA"/>
        </w:rPr>
        <w:t xml:space="preserve">oung </w:t>
      </w:r>
      <w:r w:rsidRPr="00B17D23">
        <w:rPr>
          <w:sz w:val="22"/>
          <w:szCs w:val="22"/>
          <w:lang w:val="en-ZA"/>
        </w:rPr>
        <w:t>Fem</w:t>
      </w:r>
      <w:r w:rsidR="001911C8">
        <w:rPr>
          <w:sz w:val="22"/>
          <w:szCs w:val="22"/>
          <w:lang w:val="en-ZA"/>
        </w:rPr>
        <w:t xml:space="preserve">inist </w:t>
      </w:r>
      <w:proofErr w:type="gramStart"/>
      <w:r w:rsidR="001911C8">
        <w:rPr>
          <w:sz w:val="22"/>
          <w:szCs w:val="22"/>
          <w:lang w:val="en-ZA"/>
        </w:rPr>
        <w:t>Movement(</w:t>
      </w:r>
      <w:proofErr w:type="gramEnd"/>
      <w:r w:rsidR="001911C8">
        <w:rPr>
          <w:sz w:val="22"/>
          <w:szCs w:val="22"/>
          <w:lang w:val="en-ZA"/>
        </w:rPr>
        <w:t>YFEM)</w:t>
      </w:r>
      <w:r w:rsidRPr="00B17D23">
        <w:rPr>
          <w:sz w:val="22"/>
          <w:szCs w:val="22"/>
          <w:lang w:val="en-ZA"/>
        </w:rPr>
        <w:t xml:space="preserve"> works with</w:t>
      </w:r>
      <w:r w:rsidR="00F7180B">
        <w:rPr>
          <w:sz w:val="22"/>
          <w:szCs w:val="22"/>
          <w:lang w:val="en-ZA"/>
        </w:rPr>
        <w:t>in</w:t>
      </w:r>
      <w:r w:rsidRPr="00B17D23">
        <w:rPr>
          <w:sz w:val="22"/>
          <w:szCs w:val="22"/>
          <w:lang w:val="en-ZA"/>
        </w:rPr>
        <w:t xml:space="preserve"> </w:t>
      </w:r>
      <w:r>
        <w:rPr>
          <w:sz w:val="22"/>
          <w:szCs w:val="22"/>
          <w:lang w:val="en-ZA"/>
        </w:rPr>
        <w:t>Windhoek</w:t>
      </w:r>
    </w:p>
    <w:p w14:paraId="28AD663A" w14:textId="77777777" w:rsidR="00FA28EE" w:rsidRPr="00B17D23" w:rsidRDefault="00FA28EE" w:rsidP="00FA28EE">
      <w:pPr>
        <w:ind w:firstLine="357"/>
        <w:rPr>
          <w:sz w:val="22"/>
          <w:szCs w:val="22"/>
          <w:lang w:val="en-ZA"/>
        </w:rPr>
      </w:pPr>
      <w:r>
        <w:rPr>
          <w:sz w:val="22"/>
          <w:szCs w:val="22"/>
          <w:lang w:val="en-ZA"/>
        </w:rPr>
        <w:t xml:space="preserve">Proposed Site: </w:t>
      </w:r>
      <w:r>
        <w:rPr>
          <w:sz w:val="22"/>
          <w:szCs w:val="22"/>
          <w:lang w:val="en-ZA"/>
        </w:rPr>
        <w:tab/>
      </w:r>
      <w:r>
        <w:rPr>
          <w:sz w:val="22"/>
          <w:szCs w:val="22"/>
          <w:lang w:val="en-ZA"/>
        </w:rPr>
        <w:tab/>
      </w:r>
      <w:r>
        <w:rPr>
          <w:sz w:val="22"/>
          <w:szCs w:val="22"/>
          <w:lang w:val="en-ZA"/>
        </w:rPr>
        <w:tab/>
      </w:r>
      <w:proofErr w:type="spellStart"/>
      <w:r>
        <w:rPr>
          <w:sz w:val="22"/>
          <w:szCs w:val="22"/>
          <w:lang w:val="en-ZA"/>
        </w:rPr>
        <w:t>Khomas</w:t>
      </w:r>
      <w:proofErr w:type="spellEnd"/>
      <w:r w:rsidRPr="002F0D70">
        <w:rPr>
          <w:sz w:val="22"/>
          <w:szCs w:val="22"/>
          <w:lang w:val="en-ZA"/>
        </w:rPr>
        <w:t xml:space="preserve"> </w:t>
      </w:r>
      <w:r>
        <w:rPr>
          <w:sz w:val="22"/>
          <w:szCs w:val="22"/>
          <w:lang w:val="en-ZA"/>
        </w:rPr>
        <w:t>r</w:t>
      </w:r>
      <w:r w:rsidRPr="002F0D70">
        <w:rPr>
          <w:sz w:val="22"/>
          <w:szCs w:val="22"/>
          <w:lang w:val="en-ZA"/>
        </w:rPr>
        <w:t>egion</w:t>
      </w:r>
      <w:r>
        <w:rPr>
          <w:sz w:val="22"/>
          <w:szCs w:val="22"/>
          <w:lang w:val="en-ZA"/>
        </w:rPr>
        <w:t>, Windhoek</w:t>
      </w:r>
    </w:p>
    <w:p w14:paraId="1F3777CB" w14:textId="1DF5DD61" w:rsidR="00FA28EE" w:rsidRPr="00B17D23" w:rsidRDefault="00FA28EE" w:rsidP="00FA28EE">
      <w:pPr>
        <w:ind w:firstLine="357"/>
        <w:rPr>
          <w:sz w:val="22"/>
          <w:szCs w:val="22"/>
          <w:lang w:val="en-ZA"/>
        </w:rPr>
      </w:pPr>
      <w:r>
        <w:rPr>
          <w:sz w:val="22"/>
          <w:szCs w:val="22"/>
          <w:lang w:val="en-ZA"/>
        </w:rPr>
        <w:t>Proposed target population:</w:t>
      </w:r>
      <w:r>
        <w:rPr>
          <w:sz w:val="22"/>
          <w:szCs w:val="22"/>
          <w:lang w:val="en-ZA"/>
        </w:rPr>
        <w:tab/>
        <w:t xml:space="preserve">Lesbians, bi, </w:t>
      </w:r>
      <w:proofErr w:type="gramStart"/>
      <w:r>
        <w:rPr>
          <w:sz w:val="22"/>
          <w:szCs w:val="22"/>
          <w:lang w:val="en-ZA"/>
        </w:rPr>
        <w:t>queer</w:t>
      </w:r>
      <w:proofErr w:type="gramEnd"/>
      <w:r>
        <w:rPr>
          <w:sz w:val="22"/>
          <w:szCs w:val="22"/>
          <w:lang w:val="en-ZA"/>
        </w:rPr>
        <w:t xml:space="preserve"> and other women who have sex with women and AGYW, above the age of 18</w:t>
      </w:r>
    </w:p>
    <w:p w14:paraId="30827576" w14:textId="695AC6D3" w:rsidR="00AA670F" w:rsidRDefault="00AA670F" w:rsidP="00AA670F">
      <w:pPr>
        <w:jc w:val="both"/>
        <w:rPr>
          <w:rFonts w:asciiTheme="majorHAnsi" w:eastAsia="Georgia" w:hAnsiTheme="majorHAnsi" w:cstheme="majorHAnsi"/>
          <w:sz w:val="22"/>
          <w:szCs w:val="22"/>
          <w:lang w:val="en-ZA"/>
        </w:rPr>
      </w:pPr>
    </w:p>
    <w:p w14:paraId="503019DD" w14:textId="4FFD1E0D" w:rsidR="00FA28EE" w:rsidRDefault="001A6605" w:rsidP="001A6605">
      <w:pPr>
        <w:rPr>
          <w:sz w:val="22"/>
          <w:szCs w:val="22"/>
          <w:lang w:val="en-ZA"/>
        </w:rPr>
      </w:pPr>
      <w:r>
        <w:rPr>
          <w:b/>
          <w:bCs/>
          <w:sz w:val="22"/>
          <w:szCs w:val="22"/>
          <w:lang w:val="en-ZA"/>
        </w:rPr>
        <w:t>T</w:t>
      </w:r>
      <w:r w:rsidRPr="00986D91">
        <w:rPr>
          <w:b/>
          <w:bCs/>
          <w:sz w:val="22"/>
          <w:szCs w:val="22"/>
          <w:lang w:val="en-ZA"/>
        </w:rPr>
        <w:t>he Women’s Leadership Centre (WLC)</w:t>
      </w:r>
      <w:r>
        <w:rPr>
          <w:b/>
          <w:bCs/>
          <w:sz w:val="22"/>
          <w:szCs w:val="22"/>
          <w:lang w:val="en-ZA"/>
        </w:rPr>
        <w:t xml:space="preserve">, </w:t>
      </w:r>
      <w:r w:rsidR="00D000FB">
        <w:rPr>
          <w:sz w:val="22"/>
          <w:szCs w:val="22"/>
          <w:lang w:val="en-ZA"/>
        </w:rPr>
        <w:t>e</w:t>
      </w:r>
      <w:r w:rsidR="00FA28EE" w:rsidRPr="00B17D23">
        <w:rPr>
          <w:sz w:val="22"/>
          <w:szCs w:val="22"/>
          <w:lang w:val="en-ZA"/>
        </w:rPr>
        <w:t xml:space="preserve">stablished in Windhoek in 2004, is a Namibian-based feminist organisation. Their strategy is to educate women, in particular young women, on their rights as guaranteed under national laws and policies as well as the international instruments ratified by the state, and to provide safe spaces within which the young women can relate these to their own lives, develop a feminist intersectional analysis of why these rights are not yet realised in our patriarchal state and society, support one another in processes of healing from the multiple violations most of them have experienced, and empower themselves personally and collectively to assert their rights and work towards social justice as equal citizens of their country. WLC works in rural SAN communities as well as Zambezi with AGYW, and across the Namibian regions with lesbians. </w:t>
      </w:r>
    </w:p>
    <w:p w14:paraId="605D1D3C" w14:textId="77777777" w:rsidR="00FA28EE" w:rsidRPr="00B17D23" w:rsidRDefault="00FA28EE" w:rsidP="00FA28EE">
      <w:pPr>
        <w:ind w:firstLine="357"/>
        <w:rPr>
          <w:sz w:val="22"/>
          <w:szCs w:val="22"/>
          <w:lang w:val="en-ZA"/>
        </w:rPr>
      </w:pPr>
      <w:r>
        <w:rPr>
          <w:sz w:val="22"/>
          <w:szCs w:val="22"/>
          <w:lang w:val="en-ZA"/>
        </w:rPr>
        <w:t xml:space="preserve">Proposed Site: </w:t>
      </w:r>
      <w:r>
        <w:rPr>
          <w:sz w:val="22"/>
          <w:szCs w:val="22"/>
          <w:lang w:val="en-ZA"/>
        </w:rPr>
        <w:tab/>
      </w:r>
      <w:r>
        <w:rPr>
          <w:sz w:val="22"/>
          <w:szCs w:val="22"/>
          <w:lang w:val="en-ZA"/>
        </w:rPr>
        <w:tab/>
      </w:r>
      <w:r>
        <w:rPr>
          <w:sz w:val="22"/>
          <w:szCs w:val="22"/>
          <w:lang w:val="en-ZA"/>
        </w:rPr>
        <w:tab/>
      </w:r>
      <w:proofErr w:type="spellStart"/>
      <w:r w:rsidRPr="002F0D70">
        <w:rPr>
          <w:sz w:val="22"/>
          <w:szCs w:val="22"/>
          <w:lang w:val="en-ZA"/>
        </w:rPr>
        <w:t>Otjozondjupa</w:t>
      </w:r>
      <w:proofErr w:type="spellEnd"/>
      <w:r w:rsidRPr="002F0D70">
        <w:rPr>
          <w:sz w:val="22"/>
          <w:szCs w:val="22"/>
          <w:lang w:val="en-ZA"/>
        </w:rPr>
        <w:t xml:space="preserve"> </w:t>
      </w:r>
      <w:r>
        <w:rPr>
          <w:sz w:val="22"/>
          <w:szCs w:val="22"/>
          <w:lang w:val="en-ZA"/>
        </w:rPr>
        <w:t>r</w:t>
      </w:r>
      <w:r w:rsidRPr="002F0D70">
        <w:rPr>
          <w:sz w:val="22"/>
          <w:szCs w:val="22"/>
          <w:lang w:val="en-ZA"/>
        </w:rPr>
        <w:t>egion</w:t>
      </w:r>
      <w:r>
        <w:rPr>
          <w:sz w:val="22"/>
          <w:szCs w:val="22"/>
          <w:lang w:val="en-ZA"/>
        </w:rPr>
        <w:t xml:space="preserve">, </w:t>
      </w:r>
      <w:proofErr w:type="spellStart"/>
      <w:r>
        <w:rPr>
          <w:sz w:val="22"/>
          <w:szCs w:val="22"/>
          <w:lang w:val="en-ZA"/>
        </w:rPr>
        <w:t>Tsumkwe</w:t>
      </w:r>
      <w:proofErr w:type="spellEnd"/>
    </w:p>
    <w:p w14:paraId="6F3765F4" w14:textId="77777777" w:rsidR="00FA28EE" w:rsidRPr="00B17D23" w:rsidRDefault="00FA28EE" w:rsidP="00FA28EE">
      <w:pPr>
        <w:ind w:firstLine="357"/>
        <w:rPr>
          <w:sz w:val="22"/>
          <w:szCs w:val="22"/>
          <w:lang w:val="en-ZA"/>
        </w:rPr>
      </w:pPr>
      <w:r>
        <w:rPr>
          <w:sz w:val="22"/>
          <w:szCs w:val="22"/>
          <w:lang w:val="en-ZA"/>
        </w:rPr>
        <w:t>Proposed target population:</w:t>
      </w:r>
      <w:r>
        <w:rPr>
          <w:sz w:val="22"/>
          <w:szCs w:val="22"/>
          <w:lang w:val="en-ZA"/>
        </w:rPr>
        <w:tab/>
      </w:r>
      <w:proofErr w:type="gramStart"/>
      <w:r>
        <w:rPr>
          <w:sz w:val="22"/>
          <w:szCs w:val="22"/>
          <w:lang w:val="en-ZA"/>
        </w:rPr>
        <w:t>AGYW,  above</w:t>
      </w:r>
      <w:proofErr w:type="gramEnd"/>
      <w:r>
        <w:rPr>
          <w:sz w:val="22"/>
          <w:szCs w:val="22"/>
          <w:lang w:val="en-ZA"/>
        </w:rPr>
        <w:t xml:space="preserve"> the age of 18</w:t>
      </w:r>
    </w:p>
    <w:p w14:paraId="548619B2" w14:textId="09688C15" w:rsidR="00AA670F" w:rsidRDefault="00AA670F" w:rsidP="00AA670F">
      <w:pPr>
        <w:jc w:val="both"/>
        <w:rPr>
          <w:rFonts w:asciiTheme="majorHAnsi" w:eastAsia="Georgia" w:hAnsiTheme="majorHAnsi" w:cstheme="majorHAnsi"/>
          <w:b/>
          <w:sz w:val="22"/>
          <w:szCs w:val="22"/>
          <w:u w:val="single"/>
          <w:lang w:val="en-ZA"/>
        </w:rPr>
      </w:pPr>
    </w:p>
    <w:p w14:paraId="3F2C09E5" w14:textId="77777777" w:rsidR="00E26AA8" w:rsidRDefault="00E26AA8" w:rsidP="002D03EF">
      <w:pPr>
        <w:rPr>
          <w:sz w:val="22"/>
          <w:szCs w:val="22"/>
          <w:lang w:val="en-ZA"/>
        </w:rPr>
      </w:pPr>
      <w:bookmarkStart w:id="19" w:name="_Hlk97542522"/>
      <w:r w:rsidRPr="00986D91">
        <w:rPr>
          <w:b/>
          <w:bCs/>
          <w:sz w:val="22"/>
          <w:szCs w:val="22"/>
          <w:lang w:val="en-ZA"/>
        </w:rPr>
        <w:t>MPower Community Trust (MPCT)</w:t>
      </w:r>
      <w:r w:rsidRPr="00B17D23">
        <w:rPr>
          <w:sz w:val="22"/>
          <w:szCs w:val="22"/>
          <w:lang w:val="en-ZA"/>
        </w:rPr>
        <w:t xml:space="preserve"> </w:t>
      </w:r>
      <w:bookmarkEnd w:id="19"/>
      <w:r w:rsidRPr="00B17D23">
        <w:rPr>
          <w:sz w:val="22"/>
          <w:szCs w:val="22"/>
          <w:lang w:val="en-ZA"/>
        </w:rPr>
        <w:t>is a Namibian-registered non-profit community organisation working primarily in the coastal town of Walvis Bay. MPower advances the rights and sexual health of men who have sex with men (MSM) through self-efficacy initiatives that strengthen positive self-identification amongst gay men. They also promote and support linking their members to core HIV prevention and treatment services and peer support mechanisms.</w:t>
      </w:r>
    </w:p>
    <w:p w14:paraId="17846ED6" w14:textId="77777777" w:rsidR="00E26AA8" w:rsidRDefault="00E26AA8" w:rsidP="00E26AA8">
      <w:pPr>
        <w:ind w:firstLine="357"/>
        <w:rPr>
          <w:sz w:val="22"/>
          <w:szCs w:val="22"/>
          <w:lang w:val="en-ZA"/>
        </w:rPr>
      </w:pPr>
      <w:r>
        <w:rPr>
          <w:sz w:val="22"/>
          <w:szCs w:val="22"/>
          <w:lang w:val="en-ZA"/>
        </w:rPr>
        <w:t xml:space="preserve">Proposed site: </w:t>
      </w:r>
      <w:r>
        <w:rPr>
          <w:sz w:val="22"/>
          <w:szCs w:val="22"/>
          <w:lang w:val="en-ZA"/>
        </w:rPr>
        <w:tab/>
      </w:r>
      <w:r>
        <w:rPr>
          <w:sz w:val="22"/>
          <w:szCs w:val="22"/>
          <w:lang w:val="en-ZA"/>
        </w:rPr>
        <w:tab/>
      </w:r>
      <w:r>
        <w:rPr>
          <w:sz w:val="22"/>
          <w:szCs w:val="22"/>
          <w:lang w:val="en-ZA"/>
        </w:rPr>
        <w:tab/>
      </w:r>
      <w:proofErr w:type="spellStart"/>
      <w:r>
        <w:rPr>
          <w:sz w:val="22"/>
          <w:szCs w:val="22"/>
          <w:lang w:val="en-ZA"/>
        </w:rPr>
        <w:t>Erongo</w:t>
      </w:r>
      <w:proofErr w:type="spellEnd"/>
      <w:r>
        <w:rPr>
          <w:sz w:val="22"/>
          <w:szCs w:val="22"/>
          <w:lang w:val="en-ZA"/>
        </w:rPr>
        <w:t xml:space="preserve"> region; Walvis Bay</w:t>
      </w:r>
    </w:p>
    <w:p w14:paraId="4E9CB6A6" w14:textId="77777777" w:rsidR="00E26AA8" w:rsidRPr="00B17D23" w:rsidRDefault="00E26AA8" w:rsidP="00E26AA8">
      <w:pPr>
        <w:ind w:firstLine="357"/>
        <w:rPr>
          <w:sz w:val="22"/>
          <w:szCs w:val="22"/>
          <w:lang w:val="en-ZA"/>
        </w:rPr>
      </w:pPr>
      <w:r>
        <w:rPr>
          <w:sz w:val="22"/>
          <w:szCs w:val="22"/>
          <w:lang w:val="en-ZA"/>
        </w:rPr>
        <w:lastRenderedPageBreak/>
        <w:t>Proposed target population:</w:t>
      </w:r>
      <w:r>
        <w:rPr>
          <w:sz w:val="22"/>
          <w:szCs w:val="22"/>
          <w:lang w:val="en-ZA"/>
        </w:rPr>
        <w:tab/>
        <w:t xml:space="preserve">gay, bi, </w:t>
      </w:r>
      <w:proofErr w:type="gramStart"/>
      <w:r>
        <w:rPr>
          <w:sz w:val="22"/>
          <w:szCs w:val="22"/>
          <w:lang w:val="en-ZA"/>
        </w:rPr>
        <w:t>queer</w:t>
      </w:r>
      <w:proofErr w:type="gramEnd"/>
      <w:r>
        <w:rPr>
          <w:sz w:val="22"/>
          <w:szCs w:val="22"/>
          <w:lang w:val="en-ZA"/>
        </w:rPr>
        <w:t xml:space="preserve"> and other men who have sex with men, above the age of 18</w:t>
      </w:r>
    </w:p>
    <w:p w14:paraId="37B71532" w14:textId="77777777" w:rsidR="00AA670F" w:rsidRPr="00AA670F" w:rsidRDefault="00AA670F" w:rsidP="00AA670F">
      <w:pPr>
        <w:rPr>
          <w:rFonts w:asciiTheme="majorHAnsi" w:hAnsiTheme="majorHAnsi" w:cstheme="majorHAnsi"/>
          <w:sz w:val="22"/>
          <w:szCs w:val="22"/>
          <w:lang w:val="en-ZA"/>
        </w:rPr>
      </w:pPr>
    </w:p>
    <w:p w14:paraId="504839C4" w14:textId="5811C4D4" w:rsidR="00E26AA8" w:rsidRDefault="00E26AA8" w:rsidP="00CF3C42">
      <w:pPr>
        <w:rPr>
          <w:sz w:val="22"/>
          <w:szCs w:val="22"/>
          <w:lang w:val="en-ZA"/>
        </w:rPr>
      </w:pPr>
      <w:r w:rsidRPr="00986D91">
        <w:rPr>
          <w:b/>
          <w:bCs/>
          <w:sz w:val="22"/>
          <w:szCs w:val="22"/>
          <w:lang w:val="en-ZA"/>
        </w:rPr>
        <w:t xml:space="preserve">Pots of </w:t>
      </w:r>
      <w:proofErr w:type="gramStart"/>
      <w:r w:rsidRPr="00986D91">
        <w:rPr>
          <w:b/>
          <w:bCs/>
          <w:sz w:val="22"/>
          <w:szCs w:val="22"/>
          <w:lang w:val="en-ZA"/>
        </w:rPr>
        <w:t>Hope</w:t>
      </w:r>
      <w:r w:rsidR="001911C8">
        <w:rPr>
          <w:b/>
          <w:bCs/>
          <w:sz w:val="22"/>
          <w:szCs w:val="22"/>
          <w:lang w:val="en-ZA"/>
        </w:rPr>
        <w:t>(</w:t>
      </w:r>
      <w:proofErr w:type="gramEnd"/>
      <w:r w:rsidR="001911C8">
        <w:rPr>
          <w:b/>
          <w:bCs/>
          <w:sz w:val="22"/>
          <w:szCs w:val="22"/>
          <w:lang w:val="en-ZA"/>
        </w:rPr>
        <w:t>POH)</w:t>
      </w:r>
      <w:r w:rsidRPr="00B17D23">
        <w:rPr>
          <w:sz w:val="22"/>
          <w:szCs w:val="22"/>
          <w:lang w:val="en-ZA"/>
        </w:rPr>
        <w:t xml:space="preserve"> is a Namibian Non-governmental organisation registered with the Ministry of Health and Social Services as a welfare organisation operating in Kunene region. Specifically, Pots of Hope aims to challenge the socio-economic inequalities and enable the vulnerable sections of society towards the goal of self-reliance on women, children, LGBTI and youth. Also, they aim to mobilize and harness the power of women, LGBTI and children at large to combat gender violence, and </w:t>
      </w:r>
      <w:r>
        <w:rPr>
          <w:sz w:val="22"/>
          <w:szCs w:val="22"/>
          <w:lang w:val="en-ZA"/>
        </w:rPr>
        <w:t xml:space="preserve">promote </w:t>
      </w:r>
      <w:r w:rsidRPr="00B17D23">
        <w:rPr>
          <w:sz w:val="22"/>
          <w:szCs w:val="22"/>
          <w:lang w:val="en-ZA"/>
        </w:rPr>
        <w:t>poverty eradication.</w:t>
      </w:r>
    </w:p>
    <w:p w14:paraId="7DDCFD2D" w14:textId="77777777" w:rsidR="00E26AA8" w:rsidRDefault="00E26AA8" w:rsidP="00E26AA8">
      <w:pPr>
        <w:ind w:firstLine="357"/>
        <w:rPr>
          <w:sz w:val="22"/>
          <w:szCs w:val="22"/>
          <w:lang w:val="en-ZA"/>
        </w:rPr>
      </w:pPr>
      <w:r>
        <w:rPr>
          <w:sz w:val="22"/>
          <w:szCs w:val="22"/>
          <w:lang w:val="en-ZA"/>
        </w:rPr>
        <w:t xml:space="preserve">Proposed Site: </w:t>
      </w:r>
      <w:r>
        <w:rPr>
          <w:sz w:val="22"/>
          <w:szCs w:val="22"/>
          <w:lang w:val="en-ZA"/>
        </w:rPr>
        <w:tab/>
      </w:r>
      <w:r>
        <w:rPr>
          <w:sz w:val="22"/>
          <w:szCs w:val="22"/>
          <w:lang w:val="en-ZA"/>
        </w:rPr>
        <w:tab/>
      </w:r>
      <w:r>
        <w:rPr>
          <w:sz w:val="22"/>
          <w:szCs w:val="22"/>
          <w:lang w:val="en-ZA"/>
        </w:rPr>
        <w:tab/>
        <w:t xml:space="preserve">Kunene region, </w:t>
      </w:r>
      <w:proofErr w:type="spellStart"/>
      <w:r>
        <w:rPr>
          <w:sz w:val="22"/>
          <w:szCs w:val="22"/>
          <w:lang w:val="en-ZA"/>
        </w:rPr>
        <w:t>Outjo</w:t>
      </w:r>
      <w:proofErr w:type="spellEnd"/>
    </w:p>
    <w:p w14:paraId="21E9938C" w14:textId="77777777" w:rsidR="00E26AA8" w:rsidRPr="00B17D23" w:rsidRDefault="00E26AA8" w:rsidP="00E26AA8">
      <w:pPr>
        <w:ind w:firstLine="357"/>
        <w:rPr>
          <w:sz w:val="22"/>
          <w:szCs w:val="22"/>
          <w:lang w:val="en-ZA"/>
        </w:rPr>
      </w:pPr>
      <w:r>
        <w:rPr>
          <w:sz w:val="22"/>
          <w:szCs w:val="22"/>
          <w:lang w:val="en-ZA"/>
        </w:rPr>
        <w:t>Proposed target population:</w:t>
      </w:r>
      <w:r>
        <w:rPr>
          <w:sz w:val="22"/>
          <w:szCs w:val="22"/>
          <w:lang w:val="en-ZA"/>
        </w:rPr>
        <w:tab/>
        <w:t>AGYW, LGBT youth, above the age of 18</w:t>
      </w:r>
    </w:p>
    <w:p w14:paraId="15640911" w14:textId="77777777" w:rsidR="00AA670F" w:rsidRPr="00AA670F" w:rsidRDefault="00AA670F" w:rsidP="00AA670F">
      <w:pPr>
        <w:widowControl w:val="0"/>
        <w:pBdr>
          <w:top w:val="nil"/>
          <w:left w:val="nil"/>
          <w:bottom w:val="nil"/>
          <w:right w:val="nil"/>
          <w:between w:val="nil"/>
        </w:pBdr>
        <w:jc w:val="both"/>
        <w:rPr>
          <w:rFonts w:asciiTheme="majorHAnsi" w:eastAsia="Georgia" w:hAnsiTheme="majorHAnsi" w:cstheme="majorHAnsi"/>
          <w:b/>
          <w:sz w:val="22"/>
          <w:szCs w:val="22"/>
          <w:lang w:val="en-ZA"/>
        </w:rPr>
      </w:pPr>
    </w:p>
    <w:p w14:paraId="321F7F06" w14:textId="28A73394" w:rsidR="00AA670F" w:rsidRPr="00AA670F" w:rsidRDefault="00AA670F" w:rsidP="007A013E">
      <w:pPr>
        <w:widowControl w:val="0"/>
        <w:pBdr>
          <w:top w:val="nil"/>
          <w:left w:val="nil"/>
          <w:bottom w:val="nil"/>
          <w:right w:val="nil"/>
          <w:between w:val="nil"/>
        </w:pBdr>
        <w:jc w:val="both"/>
        <w:rPr>
          <w:rFonts w:asciiTheme="majorHAnsi" w:hAnsiTheme="majorHAnsi" w:cstheme="majorHAnsi"/>
          <w:sz w:val="22"/>
          <w:szCs w:val="22"/>
          <w:lang w:val="en-ZA"/>
        </w:rPr>
      </w:pPr>
      <w:bookmarkStart w:id="20" w:name="_Hlk97542687"/>
      <w:r w:rsidRPr="007A013E">
        <w:rPr>
          <w:rFonts w:asciiTheme="majorHAnsi" w:eastAsia="Georgia" w:hAnsiTheme="majorHAnsi" w:cstheme="majorHAnsi"/>
          <w:b/>
          <w:sz w:val="22"/>
          <w:szCs w:val="22"/>
          <w:lang w:val="en-ZA"/>
        </w:rPr>
        <w:t xml:space="preserve">Voices of Hope </w:t>
      </w:r>
      <w:proofErr w:type="gramStart"/>
      <w:r w:rsidRPr="007A013E">
        <w:rPr>
          <w:rFonts w:asciiTheme="majorHAnsi" w:eastAsia="Georgia" w:hAnsiTheme="majorHAnsi" w:cstheme="majorHAnsi"/>
          <w:b/>
          <w:sz w:val="22"/>
          <w:szCs w:val="22"/>
          <w:lang w:val="en-ZA"/>
        </w:rPr>
        <w:t>Trust</w:t>
      </w:r>
      <w:bookmarkEnd w:id="20"/>
      <w:r w:rsidR="001911C8">
        <w:rPr>
          <w:rFonts w:asciiTheme="majorHAnsi" w:eastAsia="Georgia" w:hAnsiTheme="majorHAnsi" w:cstheme="majorHAnsi"/>
          <w:b/>
          <w:sz w:val="22"/>
          <w:szCs w:val="22"/>
          <w:lang w:val="en-ZA"/>
        </w:rPr>
        <w:t>(</w:t>
      </w:r>
      <w:proofErr w:type="gramEnd"/>
      <w:r w:rsidR="001911C8">
        <w:rPr>
          <w:rFonts w:asciiTheme="majorHAnsi" w:eastAsia="Georgia" w:hAnsiTheme="majorHAnsi" w:cstheme="majorHAnsi"/>
          <w:b/>
          <w:sz w:val="22"/>
          <w:szCs w:val="22"/>
          <w:lang w:val="en-ZA"/>
        </w:rPr>
        <w:t>VHT)</w:t>
      </w:r>
      <w:r w:rsidR="007A013E">
        <w:rPr>
          <w:rFonts w:asciiTheme="majorHAnsi" w:eastAsia="Georgia" w:hAnsiTheme="majorHAnsi" w:cstheme="majorHAnsi"/>
          <w:b/>
          <w:sz w:val="22"/>
          <w:szCs w:val="22"/>
          <w:lang w:val="en-ZA"/>
        </w:rPr>
        <w:t xml:space="preserve">. </w:t>
      </w:r>
      <w:r w:rsidRPr="00AA670F">
        <w:rPr>
          <w:rFonts w:asciiTheme="majorHAnsi" w:hAnsiTheme="majorHAnsi" w:cstheme="majorHAnsi"/>
          <w:sz w:val="22"/>
          <w:szCs w:val="22"/>
          <w:lang w:val="en-ZA"/>
        </w:rPr>
        <w:t xml:space="preserve">Established in 2012, Voice of Hope Trust is a sex worker-led organisation, dedicated to the social inclusion of transgender, female, and male sex workers in the </w:t>
      </w:r>
      <w:proofErr w:type="spellStart"/>
      <w:r w:rsidRPr="00AA670F">
        <w:rPr>
          <w:rFonts w:asciiTheme="majorHAnsi" w:hAnsiTheme="majorHAnsi" w:cstheme="majorHAnsi"/>
          <w:sz w:val="22"/>
          <w:szCs w:val="22"/>
          <w:lang w:val="en-ZA"/>
        </w:rPr>
        <w:t>Erongo</w:t>
      </w:r>
      <w:proofErr w:type="spellEnd"/>
      <w:r w:rsidRPr="00AA670F">
        <w:rPr>
          <w:rFonts w:asciiTheme="majorHAnsi" w:hAnsiTheme="majorHAnsi" w:cstheme="majorHAnsi"/>
          <w:sz w:val="22"/>
          <w:szCs w:val="22"/>
          <w:lang w:val="en-ZA"/>
        </w:rPr>
        <w:t xml:space="preserve"> region of Namibia. VHT’s goals include the promotion of constitutional rights, the decriminalisation of sex work, and the advancement of sexual and reproductive health and rights of sex workers.</w:t>
      </w:r>
    </w:p>
    <w:p w14:paraId="70D24D89" w14:textId="77777777" w:rsidR="00B9065A" w:rsidRDefault="00B9065A" w:rsidP="00B9065A">
      <w:pPr>
        <w:ind w:firstLine="357"/>
        <w:rPr>
          <w:sz w:val="22"/>
          <w:szCs w:val="22"/>
          <w:lang w:val="en-ZA"/>
        </w:rPr>
      </w:pPr>
      <w:r>
        <w:rPr>
          <w:sz w:val="22"/>
          <w:szCs w:val="22"/>
          <w:lang w:val="en-ZA"/>
        </w:rPr>
        <w:t>Proposed site:</w:t>
      </w:r>
      <w:r>
        <w:rPr>
          <w:sz w:val="22"/>
          <w:szCs w:val="22"/>
          <w:lang w:val="en-ZA"/>
        </w:rPr>
        <w:tab/>
      </w:r>
      <w:r>
        <w:rPr>
          <w:sz w:val="22"/>
          <w:szCs w:val="22"/>
          <w:lang w:val="en-ZA"/>
        </w:rPr>
        <w:tab/>
      </w:r>
      <w:r>
        <w:rPr>
          <w:sz w:val="22"/>
          <w:szCs w:val="22"/>
          <w:lang w:val="en-ZA"/>
        </w:rPr>
        <w:tab/>
      </w:r>
      <w:proofErr w:type="spellStart"/>
      <w:r>
        <w:rPr>
          <w:sz w:val="22"/>
          <w:szCs w:val="22"/>
          <w:lang w:val="en-ZA"/>
        </w:rPr>
        <w:t>Erongo</w:t>
      </w:r>
      <w:proofErr w:type="spellEnd"/>
      <w:r>
        <w:rPr>
          <w:sz w:val="22"/>
          <w:szCs w:val="22"/>
          <w:lang w:val="en-ZA"/>
        </w:rPr>
        <w:t xml:space="preserve"> region, </w:t>
      </w:r>
      <w:proofErr w:type="spellStart"/>
      <w:r>
        <w:rPr>
          <w:sz w:val="22"/>
          <w:szCs w:val="22"/>
          <w:lang w:val="en-ZA"/>
        </w:rPr>
        <w:t>Henties</w:t>
      </w:r>
      <w:proofErr w:type="spellEnd"/>
      <w:r>
        <w:rPr>
          <w:sz w:val="22"/>
          <w:szCs w:val="22"/>
          <w:lang w:val="en-ZA"/>
        </w:rPr>
        <w:t xml:space="preserve"> bay</w:t>
      </w:r>
    </w:p>
    <w:p w14:paraId="4EF586AA" w14:textId="77777777" w:rsidR="00B9065A" w:rsidRPr="00B17D23" w:rsidRDefault="00B9065A" w:rsidP="00B9065A">
      <w:pPr>
        <w:ind w:firstLine="357"/>
        <w:rPr>
          <w:sz w:val="22"/>
          <w:szCs w:val="22"/>
          <w:lang w:val="en-ZA"/>
        </w:rPr>
      </w:pPr>
      <w:r>
        <w:rPr>
          <w:sz w:val="22"/>
          <w:szCs w:val="22"/>
          <w:lang w:val="en-ZA"/>
        </w:rPr>
        <w:t>Proposed Target Population:</w:t>
      </w:r>
      <w:r>
        <w:rPr>
          <w:sz w:val="22"/>
          <w:szCs w:val="22"/>
          <w:lang w:val="en-ZA"/>
        </w:rPr>
        <w:tab/>
        <w:t>Sex workers, of all genders, above the age of 18</w:t>
      </w:r>
    </w:p>
    <w:p w14:paraId="42377CA9" w14:textId="77777777" w:rsidR="00A43E95" w:rsidRPr="00DD124B" w:rsidRDefault="00A43E95" w:rsidP="00A43E95">
      <w:pPr>
        <w:rPr>
          <w:rFonts w:ascii="Calibri" w:eastAsia="Calibri" w:hAnsi="Calibri" w:cs="Calibri"/>
          <w:sz w:val="22"/>
          <w:szCs w:val="22"/>
          <w:highlight w:val="yellow"/>
          <w:lang w:val="en-ZA"/>
        </w:rPr>
      </w:pPr>
    </w:p>
    <w:p w14:paraId="7FD14DE2" w14:textId="77777777" w:rsidR="004324E0" w:rsidRPr="00B72BD5" w:rsidRDefault="004324E0" w:rsidP="00334B32">
      <w:pPr>
        <w:pStyle w:val="Heading2"/>
      </w:pPr>
      <w:bookmarkStart w:id="21" w:name="_Toc34813950"/>
      <w:bookmarkStart w:id="22" w:name="_Toc113951210"/>
      <w:r w:rsidRPr="00B72BD5">
        <w:t>Building on previous collaborations</w:t>
      </w:r>
      <w:bookmarkEnd w:id="21"/>
      <w:bookmarkEnd w:id="22"/>
    </w:p>
    <w:p w14:paraId="1BA5C566" w14:textId="04B9B70F" w:rsidR="004324E0" w:rsidRPr="007F51B7" w:rsidRDefault="004324E0" w:rsidP="007658BE">
      <w:pPr>
        <w:rPr>
          <w:sz w:val="22"/>
          <w:szCs w:val="22"/>
          <w:lang w:val="en-ZA"/>
        </w:rPr>
      </w:pPr>
      <w:r w:rsidRPr="00B72BD5">
        <w:rPr>
          <w:b/>
          <w:bCs/>
          <w:sz w:val="22"/>
          <w:szCs w:val="22"/>
          <w:lang w:val="en-ZA"/>
        </w:rPr>
        <w:t xml:space="preserve">At the level of the </w:t>
      </w:r>
      <w:r w:rsidR="008E301A">
        <w:rPr>
          <w:b/>
          <w:bCs/>
          <w:sz w:val="22"/>
          <w:szCs w:val="22"/>
          <w:lang w:val="en-ZA"/>
        </w:rPr>
        <w:t>Spor Media</w:t>
      </w:r>
      <w:r w:rsidRPr="00B72BD5">
        <w:rPr>
          <w:b/>
          <w:bCs/>
          <w:sz w:val="22"/>
          <w:szCs w:val="22"/>
          <w:lang w:val="en-ZA"/>
        </w:rPr>
        <w:t>-PV relation</w:t>
      </w:r>
      <w:r w:rsidRPr="00B72BD5">
        <w:rPr>
          <w:sz w:val="22"/>
          <w:szCs w:val="22"/>
          <w:lang w:val="en-ZA"/>
        </w:rPr>
        <w:t xml:space="preserve">: There has been an ongoing dialogue and low-key cooperation between PV and </w:t>
      </w:r>
      <w:r w:rsidR="008E301A">
        <w:rPr>
          <w:sz w:val="22"/>
          <w:szCs w:val="22"/>
          <w:lang w:val="en-ZA"/>
        </w:rPr>
        <w:t>Spor Media</w:t>
      </w:r>
      <w:r w:rsidRPr="00B72BD5">
        <w:rPr>
          <w:sz w:val="22"/>
          <w:szCs w:val="22"/>
          <w:lang w:val="en-ZA"/>
        </w:rPr>
        <w:t xml:space="preserve"> from the earliest days of PV. This was stepped up from early 2018 with a decision to explore a broader and deeper partnership. Growing out of this process the partners have worked more closely since July 2019 on </w:t>
      </w:r>
      <w:bookmarkStart w:id="23" w:name="_Hlk34296914"/>
      <w:r w:rsidRPr="00B72BD5">
        <w:rPr>
          <w:sz w:val="22"/>
          <w:szCs w:val="22"/>
          <w:lang w:val="en-ZA"/>
        </w:rPr>
        <w:t xml:space="preserve">the CISU-funded </w:t>
      </w:r>
      <w:r w:rsidRPr="00B72BD5">
        <w:rPr>
          <w:i/>
          <w:sz w:val="22"/>
          <w:szCs w:val="22"/>
          <w:lang w:val="en-ZA"/>
        </w:rPr>
        <w:t>‘</w:t>
      </w:r>
      <w:r w:rsidRPr="00B72BD5">
        <w:rPr>
          <w:i/>
          <w:iCs/>
          <w:sz w:val="22"/>
          <w:szCs w:val="22"/>
          <w:lang w:val="en-ZA"/>
        </w:rPr>
        <w:t xml:space="preserve">Getting ready for a comprehensive Adolescent and Young People (AYP) Programme in Namibia’ </w:t>
      </w:r>
      <w:r w:rsidRPr="00B72BD5">
        <w:rPr>
          <w:iCs/>
          <w:sz w:val="22"/>
          <w:szCs w:val="22"/>
          <w:lang w:val="en-ZA"/>
        </w:rPr>
        <w:t>project</w:t>
      </w:r>
      <w:r w:rsidR="00904439">
        <w:rPr>
          <w:iCs/>
          <w:sz w:val="22"/>
          <w:szCs w:val="22"/>
          <w:lang w:val="en-ZA"/>
        </w:rPr>
        <w:t xml:space="preserve"> and on a range of </w:t>
      </w:r>
      <w:r w:rsidR="0028525F">
        <w:rPr>
          <w:iCs/>
          <w:sz w:val="22"/>
          <w:szCs w:val="22"/>
          <w:lang w:val="en-ZA"/>
        </w:rPr>
        <w:t>no cost follow up activities</w:t>
      </w:r>
      <w:r w:rsidRPr="00B72BD5">
        <w:rPr>
          <w:i/>
          <w:iCs/>
          <w:sz w:val="22"/>
          <w:szCs w:val="22"/>
          <w:lang w:val="en-ZA"/>
        </w:rPr>
        <w:t>.</w:t>
      </w:r>
      <w:r w:rsidRPr="00B72BD5">
        <w:rPr>
          <w:sz w:val="22"/>
          <w:szCs w:val="22"/>
          <w:lang w:val="en-ZA"/>
        </w:rPr>
        <w:t xml:space="preserve"> </w:t>
      </w:r>
      <w:r w:rsidR="00555F57">
        <w:rPr>
          <w:sz w:val="22"/>
          <w:szCs w:val="22"/>
          <w:lang w:val="en-ZA"/>
        </w:rPr>
        <w:t>In February</w:t>
      </w:r>
      <w:r w:rsidR="00DF16D2">
        <w:rPr>
          <w:sz w:val="22"/>
          <w:szCs w:val="22"/>
          <w:lang w:val="en-ZA"/>
        </w:rPr>
        <w:t xml:space="preserve"> 2022 the partners have started implementing the new CISU funded project</w:t>
      </w:r>
      <w:r w:rsidR="0092475C">
        <w:rPr>
          <w:sz w:val="22"/>
          <w:szCs w:val="22"/>
          <w:lang w:val="en-ZA"/>
        </w:rPr>
        <w:t xml:space="preserve"> </w:t>
      </w:r>
      <w:r w:rsidR="0092475C" w:rsidRPr="008B384D">
        <w:rPr>
          <w:i/>
          <w:iCs/>
          <w:sz w:val="22"/>
          <w:szCs w:val="22"/>
          <w:lang w:val="en-ZA"/>
        </w:rPr>
        <w:t xml:space="preserve">Inclusion, </w:t>
      </w:r>
      <w:proofErr w:type="gramStart"/>
      <w:r w:rsidR="0092475C" w:rsidRPr="008B384D">
        <w:rPr>
          <w:i/>
          <w:iCs/>
          <w:sz w:val="22"/>
          <w:szCs w:val="22"/>
          <w:lang w:val="en-ZA"/>
        </w:rPr>
        <w:t>acceptance</w:t>
      </w:r>
      <w:proofErr w:type="gramEnd"/>
      <w:r w:rsidR="0092475C" w:rsidRPr="008B384D">
        <w:rPr>
          <w:i/>
          <w:iCs/>
          <w:sz w:val="22"/>
          <w:szCs w:val="22"/>
          <w:lang w:val="en-ZA"/>
        </w:rPr>
        <w:t xml:space="preserve"> and safety – a foundational project</w:t>
      </w:r>
      <w:r w:rsidR="000E218C">
        <w:rPr>
          <w:i/>
          <w:iCs/>
          <w:sz w:val="22"/>
          <w:szCs w:val="22"/>
          <w:lang w:val="en-ZA"/>
        </w:rPr>
        <w:t xml:space="preserve">. </w:t>
      </w:r>
      <w:r w:rsidR="007F51B7">
        <w:rPr>
          <w:sz w:val="22"/>
          <w:szCs w:val="22"/>
          <w:lang w:val="en-ZA"/>
        </w:rPr>
        <w:t>The present project builds on the same strategy</w:t>
      </w:r>
      <w:r w:rsidR="0004487D">
        <w:rPr>
          <w:sz w:val="22"/>
          <w:szCs w:val="22"/>
          <w:lang w:val="en-ZA"/>
        </w:rPr>
        <w:t>, have the same overall objective, but applies a different approach</w:t>
      </w:r>
      <w:r w:rsidR="0004364D">
        <w:rPr>
          <w:sz w:val="22"/>
          <w:szCs w:val="22"/>
          <w:lang w:val="en-ZA"/>
        </w:rPr>
        <w:t xml:space="preserve"> by working through CSO partners</w:t>
      </w:r>
      <w:r w:rsidR="00225377">
        <w:rPr>
          <w:sz w:val="22"/>
          <w:szCs w:val="22"/>
          <w:lang w:val="en-ZA"/>
        </w:rPr>
        <w:t xml:space="preserve"> and operate in different localities</w:t>
      </w:r>
      <w:r w:rsidR="007A3A3A">
        <w:rPr>
          <w:sz w:val="22"/>
          <w:szCs w:val="22"/>
          <w:lang w:val="en-ZA"/>
        </w:rPr>
        <w:t>.</w:t>
      </w:r>
    </w:p>
    <w:bookmarkEnd w:id="23"/>
    <w:p w14:paraId="7A53DB8E" w14:textId="28939D66" w:rsidR="00297AC2" w:rsidRDefault="004324E0" w:rsidP="00297AC2">
      <w:pPr>
        <w:rPr>
          <w:sz w:val="22"/>
          <w:szCs w:val="22"/>
          <w:lang w:val="en-ZA"/>
        </w:rPr>
      </w:pPr>
      <w:r w:rsidRPr="00B72BD5">
        <w:rPr>
          <w:b/>
          <w:sz w:val="22"/>
          <w:szCs w:val="22"/>
          <w:lang w:val="en-ZA"/>
        </w:rPr>
        <w:t xml:space="preserve">At community level and national level in Namibia: </w:t>
      </w:r>
      <w:r w:rsidRPr="00B72BD5">
        <w:rPr>
          <w:sz w:val="22"/>
          <w:szCs w:val="22"/>
          <w:lang w:val="en-ZA"/>
        </w:rPr>
        <w:t xml:space="preserve">Namibia is the home of PV – the organisation has a </w:t>
      </w:r>
      <w:r w:rsidR="00FA08F1" w:rsidRPr="00B72BD5">
        <w:rPr>
          <w:sz w:val="22"/>
          <w:szCs w:val="22"/>
          <w:lang w:val="en-ZA"/>
        </w:rPr>
        <w:t xml:space="preserve">historically </w:t>
      </w:r>
      <w:r w:rsidRPr="00B72BD5">
        <w:rPr>
          <w:sz w:val="22"/>
          <w:szCs w:val="22"/>
          <w:lang w:val="en-ZA"/>
        </w:rPr>
        <w:t xml:space="preserve">strong country-level presence and track record with civil society partners, with emerging movements of LGBT+ and sex worker organisations, as well as with the government. </w:t>
      </w:r>
      <w:bookmarkStart w:id="24" w:name="_Hlk33604429"/>
      <w:r w:rsidRPr="00B72BD5">
        <w:rPr>
          <w:sz w:val="22"/>
          <w:szCs w:val="22"/>
          <w:lang w:val="en-ZA"/>
        </w:rPr>
        <w:t>This includes</w:t>
      </w:r>
      <w:r w:rsidR="00445EF3">
        <w:rPr>
          <w:sz w:val="22"/>
          <w:szCs w:val="22"/>
          <w:lang w:val="en-ZA"/>
        </w:rPr>
        <w:t xml:space="preserve"> extensive</w:t>
      </w:r>
      <w:r w:rsidRPr="00B72BD5">
        <w:rPr>
          <w:sz w:val="22"/>
          <w:szCs w:val="22"/>
          <w:lang w:val="en-ZA"/>
        </w:rPr>
        <w:t xml:space="preserve"> direct experience of and engagement with the targeted communit</w:t>
      </w:r>
      <w:r w:rsidR="005D526B">
        <w:rPr>
          <w:sz w:val="22"/>
          <w:szCs w:val="22"/>
          <w:lang w:val="en-ZA"/>
        </w:rPr>
        <w:t>y</w:t>
      </w:r>
      <w:r w:rsidRPr="00B72BD5">
        <w:rPr>
          <w:sz w:val="22"/>
          <w:szCs w:val="22"/>
          <w:lang w:val="en-ZA"/>
        </w:rPr>
        <w:t xml:space="preserve">, and with CSOs working in and with </w:t>
      </w:r>
      <w:r w:rsidR="005D526B">
        <w:rPr>
          <w:sz w:val="22"/>
          <w:szCs w:val="22"/>
          <w:lang w:val="en-ZA"/>
        </w:rPr>
        <w:t>it</w:t>
      </w:r>
      <w:r w:rsidRPr="00B72BD5">
        <w:rPr>
          <w:sz w:val="22"/>
          <w:szCs w:val="22"/>
          <w:lang w:val="en-ZA"/>
        </w:rPr>
        <w:t>.</w:t>
      </w:r>
    </w:p>
    <w:p w14:paraId="3E129AA0" w14:textId="150B4F98" w:rsidR="000C088E" w:rsidRPr="0093714D" w:rsidRDefault="00C71197" w:rsidP="00FD166D">
      <w:pPr>
        <w:ind w:firstLine="357"/>
        <w:rPr>
          <w:rFonts w:ascii="Calibri" w:eastAsia="Georgia" w:hAnsi="Calibri" w:cs="Calibri"/>
          <w:sz w:val="22"/>
          <w:szCs w:val="22"/>
          <w:lang w:val="en-GB"/>
        </w:rPr>
      </w:pPr>
      <w:r>
        <w:rPr>
          <w:sz w:val="22"/>
          <w:szCs w:val="22"/>
          <w:lang w:val="en-ZA"/>
        </w:rPr>
        <w:t>In relation to work with</w:t>
      </w:r>
      <w:r w:rsidR="0007307D">
        <w:rPr>
          <w:sz w:val="22"/>
          <w:szCs w:val="22"/>
          <w:lang w:val="en-ZA"/>
        </w:rPr>
        <w:t xml:space="preserve"> AGYWs the main engagement prior to the Spor/PV collaboration was a large</w:t>
      </w:r>
      <w:r w:rsidR="00270D37">
        <w:rPr>
          <w:sz w:val="22"/>
          <w:szCs w:val="22"/>
          <w:lang w:val="en-ZA"/>
        </w:rPr>
        <w:t xml:space="preserve"> </w:t>
      </w:r>
      <w:r w:rsidR="00163B21" w:rsidRPr="0093714D">
        <w:rPr>
          <w:rFonts w:ascii="Calibri" w:eastAsia="Georgia" w:hAnsi="Calibri" w:cs="Calibri"/>
          <w:sz w:val="22"/>
          <w:szCs w:val="22"/>
          <w:lang w:val="en-GB"/>
        </w:rPr>
        <w:t>HIV prevention grant for AGYW</w:t>
      </w:r>
      <w:r w:rsidR="00153D5E">
        <w:rPr>
          <w:rFonts w:ascii="Calibri" w:eastAsia="Georgia" w:hAnsi="Calibri" w:cs="Calibri"/>
          <w:sz w:val="22"/>
          <w:szCs w:val="22"/>
          <w:lang w:val="en-GB"/>
        </w:rPr>
        <w:t>s</w:t>
      </w:r>
      <w:r w:rsidR="00163B21" w:rsidRPr="0093714D">
        <w:rPr>
          <w:rFonts w:ascii="Calibri" w:eastAsia="Georgia" w:hAnsi="Calibri" w:cs="Calibri"/>
          <w:sz w:val="22"/>
          <w:szCs w:val="22"/>
          <w:lang w:val="en-GB"/>
        </w:rPr>
        <w:t>, under the Namibia Global Fund Grant (2018 – 2020</w:t>
      </w:r>
      <w:r w:rsidR="0006011A">
        <w:rPr>
          <w:rFonts w:ascii="Calibri" w:eastAsia="Georgia" w:hAnsi="Calibri" w:cs="Calibri"/>
          <w:sz w:val="22"/>
          <w:szCs w:val="22"/>
          <w:lang w:val="en-GB"/>
        </w:rPr>
        <w:t>)</w:t>
      </w:r>
      <w:r w:rsidR="00163B21" w:rsidRPr="0093714D">
        <w:rPr>
          <w:rFonts w:ascii="Calibri" w:eastAsia="Georgia" w:hAnsi="Calibri" w:cs="Calibri"/>
          <w:sz w:val="22"/>
          <w:szCs w:val="22"/>
          <w:lang w:val="en-GB"/>
        </w:rPr>
        <w:t xml:space="preserve">. This grant focused on HIV prevention on out-of-school 15-24-year-old AGYW, with complementary responses targeting their male counterparts, parents, </w:t>
      </w:r>
      <w:proofErr w:type="gramStart"/>
      <w:r w:rsidR="00163B21" w:rsidRPr="0093714D">
        <w:rPr>
          <w:rFonts w:ascii="Calibri" w:eastAsia="Georgia" w:hAnsi="Calibri" w:cs="Calibri"/>
          <w:sz w:val="22"/>
          <w:szCs w:val="22"/>
          <w:lang w:val="en-GB"/>
        </w:rPr>
        <w:t>caregivers</w:t>
      </w:r>
      <w:proofErr w:type="gramEnd"/>
      <w:r w:rsidR="00163B21" w:rsidRPr="0093714D">
        <w:rPr>
          <w:rFonts w:ascii="Calibri" w:eastAsia="Georgia" w:hAnsi="Calibri" w:cs="Calibri"/>
          <w:sz w:val="22"/>
          <w:szCs w:val="22"/>
          <w:lang w:val="en-GB"/>
        </w:rPr>
        <w:t xml:space="preserve"> and community leaders</w:t>
      </w:r>
      <w:r w:rsidR="0006011A">
        <w:rPr>
          <w:rFonts w:ascii="Calibri" w:eastAsia="Georgia" w:hAnsi="Calibri" w:cs="Calibri"/>
          <w:sz w:val="22"/>
          <w:szCs w:val="22"/>
          <w:lang w:val="en-GB"/>
        </w:rPr>
        <w:t>.</w:t>
      </w:r>
      <w:r w:rsidR="000C088E">
        <w:rPr>
          <w:rFonts w:ascii="Calibri" w:eastAsia="Georgia" w:hAnsi="Calibri" w:cs="Calibri"/>
          <w:sz w:val="22"/>
          <w:szCs w:val="22"/>
          <w:lang w:val="en-GB"/>
        </w:rPr>
        <w:t xml:space="preserve"> </w:t>
      </w:r>
      <w:r w:rsidR="006F2F47">
        <w:rPr>
          <w:rFonts w:ascii="Calibri" w:eastAsia="Georgia" w:hAnsi="Calibri" w:cs="Calibri"/>
          <w:sz w:val="22"/>
          <w:szCs w:val="22"/>
          <w:lang w:val="en-GB"/>
        </w:rPr>
        <w:t>This included work t</w:t>
      </w:r>
      <w:r w:rsidR="000C088E" w:rsidRPr="0093714D">
        <w:rPr>
          <w:rFonts w:ascii="Calibri" w:eastAsia="Georgia" w:hAnsi="Calibri" w:cs="Calibri"/>
          <w:sz w:val="22"/>
          <w:szCs w:val="22"/>
          <w:lang w:val="en-GB"/>
        </w:rPr>
        <w:t>o accelerate the mobilisation of AGYW</w:t>
      </w:r>
      <w:r w:rsidR="003B10F5">
        <w:rPr>
          <w:rFonts w:ascii="Calibri" w:eastAsia="Georgia" w:hAnsi="Calibri" w:cs="Calibri"/>
          <w:sz w:val="22"/>
          <w:szCs w:val="22"/>
          <w:lang w:val="en-GB"/>
        </w:rPr>
        <w:t>s</w:t>
      </w:r>
      <w:r w:rsidR="000C088E" w:rsidRPr="0093714D">
        <w:rPr>
          <w:rFonts w:ascii="Calibri" w:eastAsia="Georgia" w:hAnsi="Calibri" w:cs="Calibri"/>
          <w:sz w:val="22"/>
          <w:szCs w:val="22"/>
          <w:lang w:val="en-GB"/>
        </w:rPr>
        <w:t xml:space="preserve"> on HIV prevention through comprehensive Sexual Reproductive Health and Rights (SRH&amp;R), including Sexuality Education (SE), Life Skills and build</w:t>
      </w:r>
      <w:r w:rsidR="003B10F5">
        <w:rPr>
          <w:rFonts w:ascii="Calibri" w:eastAsia="Georgia" w:hAnsi="Calibri" w:cs="Calibri"/>
          <w:sz w:val="22"/>
          <w:szCs w:val="22"/>
          <w:lang w:val="en-GB"/>
        </w:rPr>
        <w:t>ing</w:t>
      </w:r>
      <w:r w:rsidR="000C088E" w:rsidRPr="0093714D">
        <w:rPr>
          <w:rFonts w:ascii="Calibri" w:eastAsia="Georgia" w:hAnsi="Calibri" w:cs="Calibri"/>
          <w:sz w:val="22"/>
          <w:szCs w:val="22"/>
          <w:lang w:val="en-GB"/>
        </w:rPr>
        <w:t xml:space="preserve"> self-efficacy of this group</w:t>
      </w:r>
      <w:r w:rsidR="000E5E3E">
        <w:rPr>
          <w:rFonts w:ascii="Calibri" w:eastAsia="Georgia" w:hAnsi="Calibri" w:cs="Calibri"/>
          <w:sz w:val="22"/>
          <w:szCs w:val="22"/>
          <w:lang w:val="en-GB"/>
        </w:rPr>
        <w:t>. Further work t</w:t>
      </w:r>
      <w:r w:rsidR="000C088E" w:rsidRPr="0093714D">
        <w:rPr>
          <w:rFonts w:ascii="Calibri" w:eastAsia="Georgia" w:hAnsi="Calibri" w:cs="Calibri"/>
          <w:sz w:val="22"/>
          <w:szCs w:val="22"/>
          <w:lang w:val="en-GB"/>
        </w:rPr>
        <w:t xml:space="preserve">o enhance </w:t>
      </w:r>
      <w:r w:rsidR="000E5E3E">
        <w:rPr>
          <w:rFonts w:ascii="Calibri" w:eastAsia="Georgia" w:hAnsi="Calibri" w:cs="Calibri"/>
          <w:sz w:val="22"/>
          <w:szCs w:val="22"/>
          <w:lang w:val="en-GB"/>
        </w:rPr>
        <w:t xml:space="preserve">the </w:t>
      </w:r>
      <w:r w:rsidR="000C088E" w:rsidRPr="0093714D">
        <w:rPr>
          <w:rFonts w:ascii="Calibri" w:eastAsia="Georgia" w:hAnsi="Calibri" w:cs="Calibri"/>
          <w:sz w:val="22"/>
          <w:szCs w:val="22"/>
          <w:lang w:val="en-GB"/>
        </w:rPr>
        <w:t>capacity of AGYW</w:t>
      </w:r>
      <w:r w:rsidR="00E43C04">
        <w:rPr>
          <w:rFonts w:ascii="Calibri" w:eastAsia="Georgia" w:hAnsi="Calibri" w:cs="Calibri"/>
          <w:sz w:val="22"/>
          <w:szCs w:val="22"/>
          <w:lang w:val="en-GB"/>
        </w:rPr>
        <w:t>s</w:t>
      </w:r>
      <w:r w:rsidR="000C088E" w:rsidRPr="0093714D">
        <w:rPr>
          <w:rFonts w:ascii="Calibri" w:eastAsia="Georgia" w:hAnsi="Calibri" w:cs="Calibri"/>
          <w:sz w:val="22"/>
          <w:szCs w:val="22"/>
          <w:lang w:val="en-GB"/>
        </w:rPr>
        <w:t xml:space="preserve"> </w:t>
      </w:r>
      <w:r w:rsidR="00E43C04">
        <w:rPr>
          <w:rFonts w:ascii="Calibri" w:eastAsia="Georgia" w:hAnsi="Calibri" w:cs="Calibri"/>
          <w:sz w:val="22"/>
          <w:szCs w:val="22"/>
          <w:lang w:val="en-GB"/>
        </w:rPr>
        <w:t>i</w:t>
      </w:r>
      <w:r w:rsidR="000C088E" w:rsidRPr="0093714D">
        <w:rPr>
          <w:rFonts w:ascii="Calibri" w:eastAsia="Georgia" w:hAnsi="Calibri" w:cs="Calibri"/>
          <w:sz w:val="22"/>
          <w:szCs w:val="22"/>
          <w:lang w:val="en-GB"/>
        </w:rPr>
        <w:t xml:space="preserve">n areas pertaining to HIV education, PHDP, SRHR, and resilience building at individual and group level. </w:t>
      </w:r>
    </w:p>
    <w:p w14:paraId="755DB00D" w14:textId="4E471CF0" w:rsidR="00B029B4" w:rsidRPr="0093714D" w:rsidRDefault="004324E0" w:rsidP="00B91B7D">
      <w:pPr>
        <w:ind w:firstLine="357"/>
        <w:rPr>
          <w:rFonts w:ascii="Calibri" w:eastAsia="Georgia" w:hAnsi="Calibri" w:cs="Calibri"/>
          <w:sz w:val="22"/>
          <w:szCs w:val="22"/>
          <w:lang w:val="en-GB"/>
        </w:rPr>
      </w:pPr>
      <w:r w:rsidRPr="00B72BD5">
        <w:rPr>
          <w:sz w:val="22"/>
          <w:szCs w:val="22"/>
          <w:lang w:val="en-ZA"/>
        </w:rPr>
        <w:t xml:space="preserve">PV has played a key role in national strategy and policy development processes, and engaged in many dialogues with the Namibian government, in collaboration with its network of civil society partners. </w:t>
      </w:r>
      <w:bookmarkEnd w:id="24"/>
      <w:r w:rsidRPr="00B72BD5">
        <w:rPr>
          <w:sz w:val="22"/>
          <w:szCs w:val="22"/>
          <w:lang w:val="en-ZA"/>
        </w:rPr>
        <w:t>This intervention builds on these partnerships, and on the trust built up over many years through a multitude of PV-supported interventions.</w:t>
      </w:r>
      <w:r w:rsidRPr="00B72BD5">
        <w:rPr>
          <w:rStyle w:val="FootnoteReference"/>
          <w:sz w:val="22"/>
          <w:szCs w:val="22"/>
          <w:lang w:val="en-ZA"/>
        </w:rPr>
        <w:footnoteReference w:id="13"/>
      </w:r>
      <w:r w:rsidRPr="00B72BD5">
        <w:rPr>
          <w:sz w:val="22"/>
          <w:szCs w:val="22"/>
          <w:lang w:val="en-ZA"/>
        </w:rPr>
        <w:t xml:space="preserve"> Further, during the research work that informed PV’s new AYP strategy, substantial consultations with partners were carried out. These consultations shaped the direction </w:t>
      </w:r>
      <w:r w:rsidRPr="00B029B4">
        <w:rPr>
          <w:sz w:val="22"/>
          <w:szCs w:val="22"/>
          <w:lang w:val="en-ZA"/>
        </w:rPr>
        <w:t>and approach of this project</w:t>
      </w:r>
    </w:p>
    <w:p w14:paraId="30745340" w14:textId="77777777" w:rsidR="004324E0" w:rsidRPr="00B72BD5" w:rsidRDefault="004324E0" w:rsidP="00334B32">
      <w:pPr>
        <w:rPr>
          <w:sz w:val="22"/>
          <w:szCs w:val="22"/>
          <w:lang w:val="en-ZA"/>
        </w:rPr>
      </w:pPr>
    </w:p>
    <w:p w14:paraId="79AA7FA9" w14:textId="77777777" w:rsidR="004324E0" w:rsidRPr="00B72BD5" w:rsidRDefault="004324E0" w:rsidP="00334B32">
      <w:pPr>
        <w:pStyle w:val="Heading2"/>
      </w:pPr>
      <w:bookmarkStart w:id="25" w:name="_Toc34813951"/>
      <w:bookmarkStart w:id="26" w:name="_Toc113951211"/>
      <w:r w:rsidRPr="003A2166">
        <w:lastRenderedPageBreak/>
        <w:t>Roles and responsibilities of partners and other actors</w:t>
      </w:r>
      <w:bookmarkEnd w:id="25"/>
      <w:bookmarkEnd w:id="26"/>
      <w:r w:rsidRPr="00B72BD5">
        <w:t xml:space="preserve"> </w:t>
      </w:r>
    </w:p>
    <w:p w14:paraId="1CF06631" w14:textId="50B194B8" w:rsidR="004324E0" w:rsidRPr="00164DF8" w:rsidRDefault="004324E0" w:rsidP="00334B32">
      <w:pPr>
        <w:rPr>
          <w:sz w:val="22"/>
          <w:szCs w:val="22"/>
          <w:lang w:val="en-ZA"/>
        </w:rPr>
      </w:pPr>
      <w:r w:rsidRPr="00164DF8">
        <w:rPr>
          <w:b/>
          <w:bCs/>
          <w:sz w:val="22"/>
          <w:szCs w:val="22"/>
          <w:lang w:val="en-ZA"/>
        </w:rPr>
        <w:t>Positive Vibes</w:t>
      </w:r>
      <w:r w:rsidRPr="00164DF8">
        <w:rPr>
          <w:sz w:val="22"/>
          <w:szCs w:val="22"/>
          <w:lang w:val="en-ZA"/>
        </w:rPr>
        <w:t xml:space="preserve"> will hold the day-to-day responsibility for the overall implementation of this </w:t>
      </w:r>
      <w:r w:rsidR="00F61E87" w:rsidRPr="00164DF8">
        <w:rPr>
          <w:sz w:val="22"/>
          <w:szCs w:val="22"/>
          <w:lang w:val="en-ZA"/>
        </w:rPr>
        <w:t>intervention</w:t>
      </w:r>
      <w:r w:rsidR="00F61E87">
        <w:rPr>
          <w:sz w:val="22"/>
          <w:szCs w:val="22"/>
          <w:lang w:val="en-ZA"/>
        </w:rPr>
        <w:t xml:space="preserve"> </w:t>
      </w:r>
      <w:r w:rsidR="00E53D52" w:rsidRPr="00E53D52">
        <w:rPr>
          <w:sz w:val="22"/>
          <w:szCs w:val="22"/>
          <w:highlight w:val="yellow"/>
          <w:lang w:val="en-ZA"/>
        </w:rPr>
        <w:t xml:space="preserve">including financial </w:t>
      </w:r>
      <w:r w:rsidR="007252EB">
        <w:rPr>
          <w:sz w:val="22"/>
          <w:szCs w:val="22"/>
          <w:highlight w:val="yellow"/>
          <w:lang w:val="en-ZA"/>
        </w:rPr>
        <w:t xml:space="preserve">and programmatic </w:t>
      </w:r>
      <w:r w:rsidR="00E53D52" w:rsidRPr="00E53D52">
        <w:rPr>
          <w:sz w:val="22"/>
          <w:szCs w:val="22"/>
          <w:highlight w:val="yellow"/>
          <w:lang w:val="en-ZA"/>
        </w:rPr>
        <w:t>monitoring</w:t>
      </w:r>
      <w:r w:rsidR="00E53D52">
        <w:rPr>
          <w:sz w:val="22"/>
          <w:szCs w:val="22"/>
          <w:lang w:val="en-ZA"/>
        </w:rPr>
        <w:t xml:space="preserve"> </w:t>
      </w:r>
      <w:r w:rsidR="00F61E87">
        <w:rPr>
          <w:sz w:val="22"/>
          <w:szCs w:val="22"/>
          <w:lang w:val="en-ZA"/>
        </w:rPr>
        <w:t>and</w:t>
      </w:r>
      <w:r w:rsidR="002E15D1">
        <w:rPr>
          <w:sz w:val="22"/>
          <w:szCs w:val="22"/>
          <w:lang w:val="en-ZA"/>
        </w:rPr>
        <w:t xml:space="preserve"> will provide support to CSO partners</w:t>
      </w:r>
      <w:r w:rsidR="00B46EA1">
        <w:rPr>
          <w:sz w:val="22"/>
          <w:szCs w:val="22"/>
          <w:lang w:val="en-ZA"/>
        </w:rPr>
        <w:t xml:space="preserve"> </w:t>
      </w:r>
      <w:r w:rsidR="00723210">
        <w:rPr>
          <w:sz w:val="22"/>
          <w:szCs w:val="22"/>
          <w:lang w:val="en-ZA"/>
        </w:rPr>
        <w:t xml:space="preserve">in terms of capacity building </w:t>
      </w:r>
      <w:r w:rsidR="00171F5B" w:rsidRPr="00171F5B">
        <w:rPr>
          <w:sz w:val="22"/>
          <w:szCs w:val="22"/>
          <w:highlight w:val="yellow"/>
          <w:lang w:val="en-ZA"/>
        </w:rPr>
        <w:t>and project implementation</w:t>
      </w:r>
      <w:r w:rsidR="00E82846">
        <w:rPr>
          <w:sz w:val="22"/>
          <w:szCs w:val="22"/>
          <w:lang w:val="en-ZA"/>
        </w:rPr>
        <w:t>,</w:t>
      </w:r>
      <w:r w:rsidR="00171F5B">
        <w:rPr>
          <w:sz w:val="22"/>
          <w:szCs w:val="22"/>
          <w:lang w:val="en-ZA"/>
        </w:rPr>
        <w:t xml:space="preserve"> </w:t>
      </w:r>
      <w:r w:rsidR="00723210" w:rsidRPr="00C34BC1">
        <w:rPr>
          <w:sz w:val="22"/>
          <w:szCs w:val="22"/>
          <w:highlight w:val="yellow"/>
          <w:lang w:val="en-ZA"/>
        </w:rPr>
        <w:t xml:space="preserve">and </w:t>
      </w:r>
      <w:r w:rsidR="00171F5B" w:rsidRPr="00C34BC1">
        <w:rPr>
          <w:sz w:val="22"/>
          <w:szCs w:val="22"/>
          <w:highlight w:val="yellow"/>
          <w:lang w:val="en-ZA"/>
        </w:rPr>
        <w:t>will further</w:t>
      </w:r>
      <w:r w:rsidR="00171F5B">
        <w:rPr>
          <w:sz w:val="22"/>
          <w:szCs w:val="22"/>
          <w:lang w:val="en-ZA"/>
        </w:rPr>
        <w:t xml:space="preserve"> </w:t>
      </w:r>
      <w:r w:rsidR="00723210">
        <w:rPr>
          <w:sz w:val="22"/>
          <w:szCs w:val="22"/>
          <w:lang w:val="en-ZA"/>
        </w:rPr>
        <w:t>support the use of PV methods</w:t>
      </w:r>
      <w:r w:rsidR="009A3D51">
        <w:rPr>
          <w:sz w:val="22"/>
          <w:szCs w:val="22"/>
          <w:lang w:val="en-ZA"/>
        </w:rPr>
        <w:t xml:space="preserve">, will manage partner </w:t>
      </w:r>
      <w:proofErr w:type="gramStart"/>
      <w:r w:rsidR="009A3D51">
        <w:rPr>
          <w:sz w:val="22"/>
          <w:szCs w:val="22"/>
          <w:lang w:val="en-ZA"/>
        </w:rPr>
        <w:t>grants</w:t>
      </w:r>
      <w:proofErr w:type="gramEnd"/>
      <w:r w:rsidR="009A3D51">
        <w:rPr>
          <w:sz w:val="22"/>
          <w:szCs w:val="22"/>
          <w:lang w:val="en-ZA"/>
        </w:rPr>
        <w:t xml:space="preserve"> and</w:t>
      </w:r>
      <w:r w:rsidR="00914ED3">
        <w:rPr>
          <w:sz w:val="22"/>
          <w:szCs w:val="22"/>
          <w:lang w:val="en-ZA"/>
        </w:rPr>
        <w:t xml:space="preserve"> hold the coordination </w:t>
      </w:r>
      <w:r w:rsidR="00913263">
        <w:rPr>
          <w:sz w:val="22"/>
          <w:szCs w:val="22"/>
          <w:lang w:val="en-ZA"/>
        </w:rPr>
        <w:t xml:space="preserve">of </w:t>
      </w:r>
      <w:r w:rsidR="005820B5">
        <w:rPr>
          <w:sz w:val="22"/>
          <w:szCs w:val="22"/>
          <w:lang w:val="en-ZA"/>
        </w:rPr>
        <w:t>the MEL</w:t>
      </w:r>
      <w:r w:rsidR="00914ED3">
        <w:rPr>
          <w:sz w:val="22"/>
          <w:szCs w:val="22"/>
          <w:lang w:val="en-ZA"/>
        </w:rPr>
        <w:t xml:space="preserve"> work.</w:t>
      </w:r>
    </w:p>
    <w:p w14:paraId="391B09F3" w14:textId="54B6A059" w:rsidR="004324E0" w:rsidRPr="00164DF8" w:rsidRDefault="004324E0" w:rsidP="001F4F29">
      <w:pPr>
        <w:ind w:firstLine="357"/>
        <w:rPr>
          <w:sz w:val="22"/>
          <w:szCs w:val="22"/>
          <w:lang w:val="en-ZA"/>
        </w:rPr>
      </w:pPr>
      <w:r w:rsidRPr="00164DF8">
        <w:rPr>
          <w:b/>
          <w:bCs/>
          <w:sz w:val="22"/>
          <w:szCs w:val="22"/>
          <w:lang w:val="en-ZA"/>
        </w:rPr>
        <w:t>Spor Media</w:t>
      </w:r>
      <w:r w:rsidRPr="00164DF8">
        <w:rPr>
          <w:sz w:val="22"/>
          <w:szCs w:val="22"/>
          <w:lang w:val="en-ZA"/>
        </w:rPr>
        <w:t xml:space="preserve"> will</w:t>
      </w:r>
      <w:r w:rsidR="00924D41" w:rsidRPr="00164DF8">
        <w:rPr>
          <w:sz w:val="22"/>
          <w:szCs w:val="22"/>
          <w:lang w:val="en-ZA"/>
        </w:rPr>
        <w:t xml:space="preserve"> </w:t>
      </w:r>
      <w:r w:rsidRPr="00164DF8">
        <w:rPr>
          <w:sz w:val="22"/>
          <w:szCs w:val="22"/>
          <w:lang w:val="en-ZA"/>
        </w:rPr>
        <w:t>hold the overall responsibility</w:t>
      </w:r>
      <w:r w:rsidR="00CF4A1A" w:rsidRPr="00164DF8">
        <w:rPr>
          <w:sz w:val="22"/>
          <w:szCs w:val="22"/>
          <w:lang w:val="en-ZA"/>
        </w:rPr>
        <w:t xml:space="preserve"> towards CISU and will be involved in </w:t>
      </w:r>
      <w:r w:rsidR="000354C5" w:rsidRPr="00164DF8">
        <w:rPr>
          <w:sz w:val="22"/>
          <w:szCs w:val="22"/>
          <w:lang w:val="en-ZA"/>
        </w:rPr>
        <w:t>the</w:t>
      </w:r>
      <w:r w:rsidR="00EE68D6" w:rsidRPr="00164DF8">
        <w:rPr>
          <w:sz w:val="22"/>
          <w:szCs w:val="22"/>
          <w:lang w:val="en-ZA"/>
        </w:rPr>
        <w:t xml:space="preserve"> strategic level</w:t>
      </w:r>
      <w:r w:rsidR="000354C5" w:rsidRPr="00164DF8">
        <w:rPr>
          <w:sz w:val="22"/>
          <w:szCs w:val="22"/>
          <w:lang w:val="en-ZA"/>
        </w:rPr>
        <w:t xml:space="preserve"> steering of the project</w:t>
      </w:r>
      <w:r w:rsidRPr="00164DF8">
        <w:rPr>
          <w:sz w:val="22"/>
          <w:szCs w:val="22"/>
          <w:lang w:val="en-ZA"/>
        </w:rPr>
        <w:t xml:space="preserve"> through participation in start-up work, around the </w:t>
      </w:r>
      <w:r w:rsidR="00BE0376" w:rsidRPr="00164DF8">
        <w:rPr>
          <w:sz w:val="22"/>
          <w:szCs w:val="22"/>
          <w:lang w:val="en-ZA"/>
        </w:rPr>
        <w:t>review</w:t>
      </w:r>
      <w:r w:rsidR="00E842FB" w:rsidRPr="00164DF8">
        <w:rPr>
          <w:sz w:val="22"/>
          <w:szCs w:val="22"/>
          <w:lang w:val="en-ZA"/>
        </w:rPr>
        <w:t xml:space="preserve"> and</w:t>
      </w:r>
      <w:r w:rsidR="00923F21" w:rsidRPr="00164DF8">
        <w:rPr>
          <w:sz w:val="22"/>
          <w:szCs w:val="22"/>
          <w:lang w:val="en-ZA"/>
        </w:rPr>
        <w:t xml:space="preserve"> through ongoing </w:t>
      </w:r>
      <w:r w:rsidR="00A379B4" w:rsidRPr="00164DF8">
        <w:rPr>
          <w:sz w:val="22"/>
          <w:szCs w:val="22"/>
          <w:lang w:val="en-ZA"/>
        </w:rPr>
        <w:t>dialogue</w:t>
      </w:r>
      <w:r w:rsidRPr="00164DF8">
        <w:rPr>
          <w:sz w:val="22"/>
          <w:szCs w:val="22"/>
          <w:lang w:val="en-ZA"/>
        </w:rPr>
        <w:t>.</w:t>
      </w:r>
      <w:r w:rsidR="00251E5F">
        <w:rPr>
          <w:sz w:val="22"/>
          <w:szCs w:val="22"/>
          <w:lang w:val="en-ZA"/>
        </w:rPr>
        <w:t xml:space="preserve"> </w:t>
      </w:r>
    </w:p>
    <w:p w14:paraId="5D59782E" w14:textId="112BA2D8" w:rsidR="004324E0" w:rsidRDefault="004324E0" w:rsidP="001F4F29">
      <w:pPr>
        <w:ind w:firstLine="357"/>
        <w:rPr>
          <w:sz w:val="22"/>
          <w:szCs w:val="22"/>
          <w:lang w:val="en-ZA"/>
        </w:rPr>
      </w:pPr>
      <w:r w:rsidRPr="00164DF8">
        <w:rPr>
          <w:sz w:val="22"/>
          <w:szCs w:val="22"/>
          <w:lang w:val="en-ZA"/>
        </w:rPr>
        <w:t xml:space="preserve">Further </w:t>
      </w:r>
      <w:r w:rsidR="008E301A" w:rsidRPr="00164DF8">
        <w:rPr>
          <w:sz w:val="22"/>
          <w:szCs w:val="22"/>
          <w:lang w:val="en-ZA"/>
        </w:rPr>
        <w:t>Spor Media</w:t>
      </w:r>
      <w:r w:rsidRPr="00164DF8">
        <w:rPr>
          <w:sz w:val="22"/>
          <w:szCs w:val="22"/>
          <w:lang w:val="en-ZA"/>
        </w:rPr>
        <w:t xml:space="preserve"> </w:t>
      </w:r>
      <w:r w:rsidR="0049433A" w:rsidRPr="00164DF8">
        <w:rPr>
          <w:sz w:val="22"/>
          <w:szCs w:val="22"/>
          <w:lang w:val="en-ZA"/>
        </w:rPr>
        <w:t xml:space="preserve">will </w:t>
      </w:r>
      <w:r w:rsidR="002A25A6" w:rsidRPr="00164DF8">
        <w:rPr>
          <w:sz w:val="22"/>
          <w:szCs w:val="22"/>
          <w:lang w:val="en-ZA"/>
        </w:rPr>
        <w:t xml:space="preserve">provide </w:t>
      </w:r>
      <w:r w:rsidR="001C05C5" w:rsidRPr="00164DF8">
        <w:rPr>
          <w:sz w:val="22"/>
          <w:szCs w:val="22"/>
          <w:lang w:val="en-ZA"/>
        </w:rPr>
        <w:t>TA to s</w:t>
      </w:r>
      <w:r w:rsidR="002946BB" w:rsidRPr="00164DF8">
        <w:rPr>
          <w:sz w:val="22"/>
          <w:szCs w:val="22"/>
          <w:lang w:val="en-ZA"/>
        </w:rPr>
        <w:t xml:space="preserve">upport </w:t>
      </w:r>
      <w:r w:rsidRPr="00164DF8">
        <w:rPr>
          <w:sz w:val="22"/>
          <w:szCs w:val="22"/>
          <w:lang w:val="en-ZA"/>
        </w:rPr>
        <w:t xml:space="preserve">PV’s </w:t>
      </w:r>
      <w:r w:rsidR="002946BB" w:rsidRPr="00164DF8">
        <w:rPr>
          <w:sz w:val="22"/>
          <w:szCs w:val="22"/>
          <w:lang w:val="en-ZA"/>
        </w:rPr>
        <w:t xml:space="preserve">work </w:t>
      </w:r>
      <w:r w:rsidR="00BE0376" w:rsidRPr="00164DF8">
        <w:rPr>
          <w:sz w:val="22"/>
          <w:szCs w:val="22"/>
          <w:lang w:val="en-ZA"/>
        </w:rPr>
        <w:t xml:space="preserve">with </w:t>
      </w:r>
      <w:r w:rsidR="004B6A29">
        <w:rPr>
          <w:sz w:val="22"/>
          <w:szCs w:val="22"/>
          <w:lang w:val="en-ZA"/>
        </w:rPr>
        <w:t xml:space="preserve">strategy and </w:t>
      </w:r>
      <w:r w:rsidR="00BE0376" w:rsidRPr="00164DF8">
        <w:rPr>
          <w:sz w:val="22"/>
          <w:szCs w:val="22"/>
          <w:lang w:val="en-ZA"/>
        </w:rPr>
        <w:t>programme</w:t>
      </w:r>
      <w:r w:rsidR="001D53CE" w:rsidRPr="00164DF8">
        <w:rPr>
          <w:sz w:val="22"/>
          <w:szCs w:val="22"/>
          <w:lang w:val="en-ZA"/>
        </w:rPr>
        <w:t xml:space="preserve"> development</w:t>
      </w:r>
      <w:r w:rsidR="002946BB" w:rsidRPr="00164DF8">
        <w:rPr>
          <w:sz w:val="22"/>
          <w:szCs w:val="22"/>
          <w:lang w:val="en-ZA"/>
        </w:rPr>
        <w:t>,</w:t>
      </w:r>
      <w:r w:rsidR="001D53CE" w:rsidRPr="00164DF8">
        <w:rPr>
          <w:sz w:val="22"/>
          <w:szCs w:val="22"/>
          <w:lang w:val="en-ZA"/>
        </w:rPr>
        <w:t xml:space="preserve"> </w:t>
      </w:r>
      <w:r w:rsidR="00B56AF0" w:rsidRPr="00164DF8">
        <w:rPr>
          <w:sz w:val="22"/>
          <w:szCs w:val="22"/>
          <w:lang w:val="en-ZA"/>
        </w:rPr>
        <w:t>new partnership development</w:t>
      </w:r>
      <w:r w:rsidR="002946BB" w:rsidRPr="00164DF8">
        <w:rPr>
          <w:sz w:val="22"/>
          <w:szCs w:val="22"/>
          <w:lang w:val="en-ZA"/>
        </w:rPr>
        <w:t xml:space="preserve"> and </w:t>
      </w:r>
      <w:r w:rsidR="007E443F" w:rsidRPr="00164DF8">
        <w:rPr>
          <w:sz w:val="22"/>
          <w:szCs w:val="22"/>
          <w:lang w:val="en-ZA"/>
        </w:rPr>
        <w:t>resource mobilisation</w:t>
      </w:r>
      <w:r w:rsidR="009C063E">
        <w:rPr>
          <w:sz w:val="22"/>
          <w:szCs w:val="22"/>
          <w:lang w:val="en-ZA"/>
        </w:rPr>
        <w:t>.</w:t>
      </w:r>
    </w:p>
    <w:p w14:paraId="4C6472CC" w14:textId="44786C60" w:rsidR="004324E0" w:rsidRDefault="004324E0" w:rsidP="001F4F29">
      <w:pPr>
        <w:ind w:firstLine="357"/>
        <w:rPr>
          <w:sz w:val="22"/>
          <w:szCs w:val="22"/>
          <w:lang w:val="en-ZA"/>
        </w:rPr>
      </w:pPr>
      <w:r w:rsidRPr="00953B4A">
        <w:rPr>
          <w:b/>
          <w:bCs/>
          <w:sz w:val="22"/>
          <w:szCs w:val="22"/>
          <w:highlight w:val="yellow"/>
          <w:lang w:val="en-ZA"/>
        </w:rPr>
        <w:t xml:space="preserve">The </w:t>
      </w:r>
      <w:r w:rsidR="00953B4A">
        <w:rPr>
          <w:b/>
          <w:bCs/>
          <w:sz w:val="22"/>
          <w:szCs w:val="22"/>
          <w:highlight w:val="yellow"/>
          <w:lang w:val="en-ZA"/>
        </w:rPr>
        <w:t xml:space="preserve">5 </w:t>
      </w:r>
      <w:r w:rsidR="002D2B61" w:rsidRPr="00953B4A">
        <w:rPr>
          <w:b/>
          <w:bCs/>
          <w:sz w:val="22"/>
          <w:szCs w:val="22"/>
          <w:highlight w:val="yellow"/>
          <w:lang w:val="en-ZA"/>
        </w:rPr>
        <w:t>local</w:t>
      </w:r>
      <w:r w:rsidR="00016D94" w:rsidRPr="00953B4A">
        <w:rPr>
          <w:b/>
          <w:bCs/>
          <w:sz w:val="22"/>
          <w:szCs w:val="22"/>
          <w:highlight w:val="yellow"/>
          <w:lang w:val="en-ZA"/>
        </w:rPr>
        <w:t xml:space="preserve"> CSO</w:t>
      </w:r>
      <w:r w:rsidR="00D40793" w:rsidRPr="00953B4A">
        <w:rPr>
          <w:b/>
          <w:bCs/>
          <w:sz w:val="22"/>
          <w:szCs w:val="22"/>
          <w:highlight w:val="yellow"/>
          <w:lang w:val="en-ZA"/>
        </w:rPr>
        <w:t xml:space="preserve"> partner</w:t>
      </w:r>
      <w:r w:rsidRPr="00953B4A">
        <w:rPr>
          <w:b/>
          <w:bCs/>
          <w:sz w:val="22"/>
          <w:szCs w:val="22"/>
          <w:highlight w:val="yellow"/>
          <w:lang w:val="en-ZA"/>
        </w:rPr>
        <w:t>s</w:t>
      </w:r>
      <w:r w:rsidRPr="00953B4A">
        <w:rPr>
          <w:sz w:val="22"/>
          <w:szCs w:val="22"/>
          <w:highlight w:val="yellow"/>
          <w:lang w:val="en-ZA"/>
        </w:rPr>
        <w:t xml:space="preserve"> will </w:t>
      </w:r>
      <w:r w:rsidR="00D662D7">
        <w:rPr>
          <w:sz w:val="22"/>
          <w:szCs w:val="22"/>
          <w:highlight w:val="yellow"/>
          <w:lang w:val="en-ZA"/>
        </w:rPr>
        <w:t>be centrally involved in all elements of the project</w:t>
      </w:r>
      <w:r w:rsidR="00E111FF">
        <w:rPr>
          <w:sz w:val="22"/>
          <w:szCs w:val="22"/>
          <w:highlight w:val="yellow"/>
          <w:lang w:val="en-ZA"/>
        </w:rPr>
        <w:t xml:space="preserve"> and will </w:t>
      </w:r>
      <w:r w:rsidR="00A307F3">
        <w:rPr>
          <w:sz w:val="22"/>
          <w:szCs w:val="22"/>
          <w:highlight w:val="yellow"/>
          <w:lang w:val="en-ZA"/>
        </w:rPr>
        <w:t xml:space="preserve">hold the </w:t>
      </w:r>
      <w:r w:rsidR="00F26703">
        <w:rPr>
          <w:sz w:val="22"/>
          <w:szCs w:val="22"/>
          <w:highlight w:val="yellow"/>
          <w:lang w:val="en-ZA"/>
        </w:rPr>
        <w:t xml:space="preserve">full </w:t>
      </w:r>
      <w:r w:rsidR="00A307F3">
        <w:rPr>
          <w:sz w:val="22"/>
          <w:szCs w:val="22"/>
          <w:highlight w:val="yellow"/>
          <w:lang w:val="en-ZA"/>
        </w:rPr>
        <w:t xml:space="preserve">responsibility </w:t>
      </w:r>
      <w:r w:rsidR="00580BD4">
        <w:rPr>
          <w:sz w:val="22"/>
          <w:szCs w:val="22"/>
          <w:highlight w:val="yellow"/>
          <w:lang w:val="en-ZA"/>
        </w:rPr>
        <w:t xml:space="preserve">to </w:t>
      </w:r>
      <w:r w:rsidR="00913263" w:rsidRPr="00953B4A">
        <w:rPr>
          <w:sz w:val="22"/>
          <w:szCs w:val="22"/>
          <w:highlight w:val="yellow"/>
          <w:lang w:val="en-ZA"/>
        </w:rPr>
        <w:t>implement</w:t>
      </w:r>
      <w:r w:rsidRPr="00953B4A">
        <w:rPr>
          <w:sz w:val="22"/>
          <w:szCs w:val="22"/>
          <w:highlight w:val="yellow"/>
          <w:lang w:val="en-ZA"/>
        </w:rPr>
        <w:t xml:space="preserve"> a range of community-level interventions, </w:t>
      </w:r>
      <w:r w:rsidR="002475D3">
        <w:rPr>
          <w:sz w:val="22"/>
          <w:szCs w:val="22"/>
          <w:highlight w:val="yellow"/>
          <w:lang w:val="en-ZA"/>
        </w:rPr>
        <w:t xml:space="preserve">i.e. </w:t>
      </w:r>
      <w:r w:rsidR="00217F80">
        <w:rPr>
          <w:sz w:val="22"/>
          <w:szCs w:val="22"/>
          <w:highlight w:val="yellow"/>
          <w:lang w:val="en-ZA"/>
        </w:rPr>
        <w:t xml:space="preserve">activity 5.4 and all activities under Output 6 </w:t>
      </w:r>
      <w:r w:rsidRPr="00953B4A">
        <w:rPr>
          <w:sz w:val="22"/>
          <w:szCs w:val="22"/>
          <w:highlight w:val="yellow"/>
          <w:lang w:val="en-ZA"/>
        </w:rPr>
        <w:t>as outlined in</w:t>
      </w:r>
      <w:r w:rsidR="00D27EE7" w:rsidRPr="00953B4A">
        <w:rPr>
          <w:sz w:val="22"/>
          <w:szCs w:val="22"/>
          <w:highlight w:val="yellow"/>
          <w:lang w:val="en-ZA"/>
        </w:rPr>
        <w:t xml:space="preserve"> the log frame </w:t>
      </w:r>
      <w:r w:rsidR="000F0665" w:rsidRPr="00953B4A">
        <w:rPr>
          <w:sz w:val="22"/>
          <w:szCs w:val="22"/>
          <w:highlight w:val="yellow"/>
          <w:lang w:val="en-ZA"/>
        </w:rPr>
        <w:t>in Section</w:t>
      </w:r>
      <w:r w:rsidRPr="00953B4A">
        <w:rPr>
          <w:sz w:val="22"/>
          <w:szCs w:val="22"/>
          <w:highlight w:val="yellow"/>
          <w:lang w:val="en-ZA"/>
        </w:rPr>
        <w:t xml:space="preserve"> </w:t>
      </w:r>
      <w:r w:rsidR="00DA2184" w:rsidRPr="00953B4A">
        <w:rPr>
          <w:sz w:val="22"/>
          <w:szCs w:val="22"/>
          <w:highlight w:val="yellow"/>
          <w:lang w:val="en-ZA"/>
        </w:rPr>
        <w:t>3</w:t>
      </w:r>
      <w:r w:rsidR="006F3072">
        <w:rPr>
          <w:sz w:val="22"/>
          <w:szCs w:val="22"/>
          <w:highlight w:val="yellow"/>
          <w:lang w:val="en-ZA"/>
        </w:rPr>
        <w:t>.</w:t>
      </w:r>
      <w:r w:rsidR="00BB142F" w:rsidRPr="00953B4A">
        <w:rPr>
          <w:sz w:val="22"/>
          <w:szCs w:val="22"/>
          <w:highlight w:val="yellow"/>
          <w:lang w:val="en-ZA"/>
        </w:rPr>
        <w:t>This will</w:t>
      </w:r>
      <w:r w:rsidR="00BB142F" w:rsidRPr="00953B4A">
        <w:rPr>
          <w:rFonts w:ascii="Calibri" w:eastAsia="Calibri" w:hAnsi="Calibri" w:cs="Calibri"/>
          <w:noProof/>
          <w:sz w:val="22"/>
          <w:szCs w:val="22"/>
          <w:highlight w:val="yellow"/>
          <w:lang w:val="en-ZA"/>
        </w:rPr>
        <w:t xml:space="preserve"> include movement building work in their constituencies and </w:t>
      </w:r>
      <w:r w:rsidR="00D27EE7" w:rsidRPr="00953B4A">
        <w:rPr>
          <w:rFonts w:ascii="Calibri" w:eastAsia="Calibri" w:hAnsi="Calibri" w:cs="Calibri"/>
          <w:noProof/>
          <w:sz w:val="22"/>
          <w:szCs w:val="22"/>
          <w:highlight w:val="yellow"/>
          <w:lang w:val="en-ZA"/>
        </w:rPr>
        <w:t>c</w:t>
      </w:r>
      <w:proofErr w:type="spellStart"/>
      <w:r w:rsidR="00BB142F" w:rsidRPr="00953B4A">
        <w:rPr>
          <w:sz w:val="22"/>
          <w:szCs w:val="22"/>
          <w:highlight w:val="yellow"/>
          <w:lang w:val="en-ZA"/>
        </w:rPr>
        <w:t>ommunity</w:t>
      </w:r>
      <w:proofErr w:type="spellEnd"/>
      <w:r w:rsidR="00BB142F" w:rsidRPr="00953B4A">
        <w:rPr>
          <w:sz w:val="22"/>
          <w:szCs w:val="22"/>
          <w:highlight w:val="yellow"/>
          <w:lang w:val="en-ZA"/>
        </w:rPr>
        <w:t xml:space="preserve"> level influence/advocacy work towards </w:t>
      </w:r>
      <w:r w:rsidR="00D27EE7" w:rsidRPr="00953B4A">
        <w:rPr>
          <w:sz w:val="22"/>
          <w:szCs w:val="22"/>
          <w:highlight w:val="yellow"/>
          <w:lang w:val="en-ZA"/>
        </w:rPr>
        <w:t>local community</w:t>
      </w:r>
      <w:r w:rsidR="00BB142F" w:rsidRPr="00953B4A">
        <w:rPr>
          <w:sz w:val="22"/>
          <w:szCs w:val="22"/>
          <w:highlight w:val="yellow"/>
          <w:lang w:val="en-ZA"/>
        </w:rPr>
        <w:t xml:space="preserve"> and </w:t>
      </w:r>
      <w:r w:rsidR="007D635A" w:rsidRPr="00953B4A">
        <w:rPr>
          <w:sz w:val="22"/>
          <w:szCs w:val="22"/>
          <w:highlight w:val="yellow"/>
          <w:lang w:val="en-ZA"/>
        </w:rPr>
        <w:t>governmental structures</w:t>
      </w:r>
      <w:r w:rsidR="00BB142F" w:rsidRPr="00953B4A">
        <w:rPr>
          <w:sz w:val="22"/>
          <w:szCs w:val="22"/>
          <w:highlight w:val="yellow"/>
          <w:lang w:val="en-ZA"/>
        </w:rPr>
        <w:t xml:space="preserve">, e.g. traditional and </w:t>
      </w:r>
      <w:r w:rsidR="00D27EE7" w:rsidRPr="00953B4A">
        <w:rPr>
          <w:sz w:val="22"/>
          <w:szCs w:val="22"/>
          <w:highlight w:val="yellow"/>
          <w:lang w:val="en-ZA"/>
        </w:rPr>
        <w:t>religious</w:t>
      </w:r>
      <w:r w:rsidR="00BB142F" w:rsidRPr="00953B4A">
        <w:rPr>
          <w:sz w:val="22"/>
          <w:szCs w:val="22"/>
          <w:highlight w:val="yellow"/>
          <w:lang w:val="en-ZA"/>
        </w:rPr>
        <w:t xml:space="preserve"> leaders, the health system, the school system, the </w:t>
      </w:r>
      <w:r w:rsidR="00913263" w:rsidRPr="00953B4A">
        <w:rPr>
          <w:sz w:val="22"/>
          <w:szCs w:val="22"/>
          <w:highlight w:val="yellow"/>
          <w:lang w:val="en-ZA"/>
        </w:rPr>
        <w:t>police</w:t>
      </w:r>
      <w:r w:rsidR="00BB142F" w:rsidRPr="00953B4A">
        <w:rPr>
          <w:sz w:val="22"/>
          <w:szCs w:val="22"/>
          <w:highlight w:val="yellow"/>
          <w:lang w:val="en-ZA"/>
        </w:rPr>
        <w:t xml:space="preserve"> e</w:t>
      </w:r>
      <w:r w:rsidR="00BB142F" w:rsidRPr="009F674F">
        <w:rPr>
          <w:sz w:val="22"/>
          <w:szCs w:val="22"/>
          <w:highlight w:val="yellow"/>
          <w:lang w:val="en-ZA"/>
        </w:rPr>
        <w:t>tc.</w:t>
      </w:r>
      <w:r w:rsidR="009027A0" w:rsidRPr="009F674F">
        <w:rPr>
          <w:sz w:val="22"/>
          <w:szCs w:val="22"/>
          <w:highlight w:val="yellow"/>
          <w:lang w:val="en-ZA"/>
        </w:rPr>
        <w:t xml:space="preserve"> </w:t>
      </w:r>
      <w:r w:rsidR="00DE6111" w:rsidRPr="009F674F">
        <w:rPr>
          <w:sz w:val="22"/>
          <w:szCs w:val="22"/>
          <w:highlight w:val="yellow"/>
          <w:lang w:val="en-ZA"/>
        </w:rPr>
        <w:t>The community level work in each of the 5 project</w:t>
      </w:r>
      <w:r w:rsidR="0001139E" w:rsidRPr="009F674F">
        <w:rPr>
          <w:sz w:val="22"/>
          <w:szCs w:val="22"/>
          <w:highlight w:val="yellow"/>
          <w:lang w:val="en-ZA"/>
        </w:rPr>
        <w:t xml:space="preserve"> areas will be planned based on the local situation and local opportunities </w:t>
      </w:r>
      <w:r w:rsidR="0011768A" w:rsidRPr="009F674F">
        <w:rPr>
          <w:sz w:val="22"/>
          <w:szCs w:val="22"/>
          <w:highlight w:val="yellow"/>
          <w:lang w:val="en-ZA"/>
        </w:rPr>
        <w:t>as well as</w:t>
      </w:r>
      <w:r w:rsidR="00766214" w:rsidRPr="009F674F">
        <w:rPr>
          <w:sz w:val="22"/>
          <w:szCs w:val="22"/>
          <w:highlight w:val="yellow"/>
          <w:lang w:val="en-ZA"/>
        </w:rPr>
        <w:t xml:space="preserve"> founded</w:t>
      </w:r>
      <w:r w:rsidR="0011768A" w:rsidRPr="009F674F">
        <w:rPr>
          <w:sz w:val="22"/>
          <w:szCs w:val="22"/>
          <w:highlight w:val="yellow"/>
          <w:lang w:val="en-ZA"/>
        </w:rPr>
        <w:t xml:space="preserve"> on the initial work with capacity building of the organisations under Outcome 1.</w:t>
      </w:r>
      <w:r w:rsidR="00766214" w:rsidRPr="009F674F">
        <w:rPr>
          <w:sz w:val="22"/>
          <w:szCs w:val="22"/>
          <w:highlight w:val="yellow"/>
          <w:lang w:val="en-ZA"/>
        </w:rPr>
        <w:t xml:space="preserve"> </w:t>
      </w:r>
      <w:r w:rsidR="00D96A4A" w:rsidRPr="009F674F">
        <w:rPr>
          <w:sz w:val="22"/>
          <w:szCs w:val="22"/>
          <w:highlight w:val="yellow"/>
          <w:lang w:val="en-ZA"/>
        </w:rPr>
        <w:t xml:space="preserve">This level of work will be managed through </w:t>
      </w:r>
      <w:r w:rsidR="00B578A4" w:rsidRPr="009F674F">
        <w:rPr>
          <w:sz w:val="22"/>
          <w:szCs w:val="22"/>
          <w:highlight w:val="yellow"/>
          <w:lang w:val="en-ZA"/>
        </w:rPr>
        <w:t xml:space="preserve">subgrants from PV using their </w:t>
      </w:r>
      <w:r w:rsidR="009F0E27" w:rsidRPr="009F674F">
        <w:rPr>
          <w:sz w:val="22"/>
          <w:szCs w:val="22"/>
          <w:highlight w:val="yellow"/>
          <w:lang w:val="en-ZA"/>
        </w:rPr>
        <w:t>well tested system/method for sub</w:t>
      </w:r>
      <w:r w:rsidR="00AA3988">
        <w:rPr>
          <w:sz w:val="22"/>
          <w:szCs w:val="22"/>
          <w:highlight w:val="yellow"/>
          <w:lang w:val="en-ZA"/>
        </w:rPr>
        <w:t>-</w:t>
      </w:r>
      <w:r w:rsidR="009F0E27" w:rsidRPr="009F674F">
        <w:rPr>
          <w:sz w:val="22"/>
          <w:szCs w:val="22"/>
          <w:highlight w:val="yellow"/>
          <w:lang w:val="en-ZA"/>
        </w:rPr>
        <w:t>granting</w:t>
      </w:r>
      <w:r w:rsidR="009F674F" w:rsidRPr="009F674F">
        <w:rPr>
          <w:sz w:val="22"/>
          <w:szCs w:val="22"/>
          <w:highlight w:val="yellow"/>
          <w:lang w:val="en-ZA"/>
        </w:rPr>
        <w:t xml:space="preserve"> as described in section 3.</w:t>
      </w:r>
      <w:r w:rsidR="00D42B93">
        <w:rPr>
          <w:sz w:val="22"/>
          <w:szCs w:val="22"/>
          <w:lang w:val="en-ZA"/>
        </w:rPr>
        <w:t xml:space="preserve"> </w:t>
      </w:r>
    </w:p>
    <w:p w14:paraId="4D2D0875" w14:textId="760A6E38" w:rsidR="000C5B36" w:rsidRPr="00D27EE7" w:rsidRDefault="00070200" w:rsidP="00A64799">
      <w:pPr>
        <w:rPr>
          <w:sz w:val="22"/>
          <w:szCs w:val="22"/>
          <w:lang w:val="en-ZA"/>
        </w:rPr>
      </w:pPr>
      <w:r>
        <w:rPr>
          <w:sz w:val="22"/>
          <w:szCs w:val="22"/>
          <w:highlight w:val="yellow"/>
          <w:lang w:val="en-ZA"/>
        </w:rPr>
        <w:t>The t</w:t>
      </w:r>
      <w:r w:rsidR="006D6BD7" w:rsidRPr="00C2025B">
        <w:rPr>
          <w:sz w:val="22"/>
          <w:szCs w:val="22"/>
          <w:highlight w:val="yellow"/>
          <w:lang w:val="en-ZA"/>
        </w:rPr>
        <w:t>arget</w:t>
      </w:r>
      <w:r w:rsidR="007252EB">
        <w:rPr>
          <w:sz w:val="22"/>
          <w:szCs w:val="22"/>
          <w:highlight w:val="yellow"/>
          <w:lang w:val="en-ZA"/>
        </w:rPr>
        <w:t>/ rightsholder</w:t>
      </w:r>
      <w:r w:rsidR="006D6BD7" w:rsidRPr="005B7563">
        <w:rPr>
          <w:sz w:val="22"/>
          <w:szCs w:val="22"/>
          <w:highlight w:val="yellow"/>
          <w:lang w:val="en-ZA"/>
        </w:rPr>
        <w:t>gr</w:t>
      </w:r>
      <w:r w:rsidR="00AB45B6" w:rsidRPr="005B7563">
        <w:rPr>
          <w:sz w:val="22"/>
          <w:szCs w:val="22"/>
          <w:highlight w:val="yellow"/>
          <w:lang w:val="en-ZA"/>
        </w:rPr>
        <w:t>oup</w:t>
      </w:r>
      <w:r w:rsidRPr="005B7563">
        <w:rPr>
          <w:sz w:val="22"/>
          <w:szCs w:val="22"/>
          <w:highlight w:val="yellow"/>
          <w:lang w:val="en-ZA"/>
        </w:rPr>
        <w:t xml:space="preserve">s of </w:t>
      </w:r>
      <w:r w:rsidR="00B0703A" w:rsidRPr="005B7563">
        <w:rPr>
          <w:sz w:val="22"/>
          <w:szCs w:val="22"/>
          <w:highlight w:val="yellow"/>
          <w:lang w:val="en-ZA"/>
        </w:rPr>
        <w:t xml:space="preserve">LGBT+ Youth and AGYWs are represented in the structures of </w:t>
      </w:r>
      <w:r w:rsidR="00663FC1" w:rsidRPr="005B7563">
        <w:rPr>
          <w:sz w:val="22"/>
          <w:szCs w:val="22"/>
          <w:highlight w:val="yellow"/>
          <w:lang w:val="en-ZA"/>
        </w:rPr>
        <w:t xml:space="preserve">PV and the 5 local </w:t>
      </w:r>
      <w:r w:rsidR="003104FF" w:rsidRPr="005B7563">
        <w:rPr>
          <w:sz w:val="22"/>
          <w:szCs w:val="22"/>
          <w:highlight w:val="yellow"/>
          <w:lang w:val="en-ZA"/>
        </w:rPr>
        <w:t>partners and</w:t>
      </w:r>
      <w:r w:rsidR="00BE67E9" w:rsidRPr="005B7563">
        <w:rPr>
          <w:sz w:val="22"/>
          <w:szCs w:val="22"/>
          <w:highlight w:val="yellow"/>
          <w:lang w:val="en-ZA"/>
        </w:rPr>
        <w:t xml:space="preserve"> are an important part of the constituencies</w:t>
      </w:r>
      <w:r w:rsidR="009B7BE1" w:rsidRPr="005B7563">
        <w:rPr>
          <w:sz w:val="22"/>
          <w:szCs w:val="22"/>
          <w:highlight w:val="yellow"/>
          <w:lang w:val="en-ZA"/>
        </w:rPr>
        <w:t xml:space="preserve">. </w:t>
      </w:r>
      <w:r w:rsidR="001750AF" w:rsidRPr="005B7563">
        <w:rPr>
          <w:sz w:val="22"/>
          <w:szCs w:val="22"/>
          <w:highlight w:val="yellow"/>
          <w:lang w:val="en-ZA"/>
        </w:rPr>
        <w:t xml:space="preserve"> Members of the target groups will be</w:t>
      </w:r>
      <w:r w:rsidR="00EF203F" w:rsidRPr="005B7563">
        <w:rPr>
          <w:sz w:val="22"/>
          <w:szCs w:val="22"/>
          <w:highlight w:val="yellow"/>
          <w:lang w:val="en-ZA"/>
        </w:rPr>
        <w:t xml:space="preserve"> centrally</w:t>
      </w:r>
      <w:r w:rsidR="001750AF" w:rsidRPr="005B7563">
        <w:rPr>
          <w:sz w:val="22"/>
          <w:szCs w:val="22"/>
          <w:highlight w:val="yellow"/>
          <w:lang w:val="en-ZA"/>
        </w:rPr>
        <w:t xml:space="preserve"> involved in in all activities under </w:t>
      </w:r>
      <w:r w:rsidR="001F3A0B" w:rsidRPr="005B7563">
        <w:rPr>
          <w:sz w:val="22"/>
          <w:szCs w:val="22"/>
          <w:highlight w:val="yellow"/>
          <w:lang w:val="en-ZA"/>
        </w:rPr>
        <w:t xml:space="preserve">both Outcomes and </w:t>
      </w:r>
      <w:r w:rsidR="00AA3988">
        <w:rPr>
          <w:sz w:val="22"/>
          <w:szCs w:val="22"/>
          <w:highlight w:val="yellow"/>
          <w:lang w:val="en-ZA"/>
        </w:rPr>
        <w:t>are</w:t>
      </w:r>
      <w:r w:rsidR="006A79B5" w:rsidRPr="005B7563">
        <w:rPr>
          <w:sz w:val="22"/>
          <w:szCs w:val="22"/>
          <w:highlight w:val="yellow"/>
          <w:lang w:val="en-ZA"/>
        </w:rPr>
        <w:t xml:space="preserve"> the focus of </w:t>
      </w:r>
      <w:r w:rsidR="00EF203F" w:rsidRPr="005B7563">
        <w:rPr>
          <w:sz w:val="22"/>
          <w:szCs w:val="22"/>
          <w:highlight w:val="yellow"/>
          <w:lang w:val="en-ZA"/>
        </w:rPr>
        <w:t xml:space="preserve">the activities under </w:t>
      </w:r>
      <w:r w:rsidR="006A79B5" w:rsidRPr="005B7563">
        <w:rPr>
          <w:sz w:val="22"/>
          <w:szCs w:val="22"/>
          <w:highlight w:val="yellow"/>
          <w:lang w:val="en-ZA"/>
        </w:rPr>
        <w:t>Output 5.</w:t>
      </w:r>
    </w:p>
    <w:p w14:paraId="2EC12CF1" w14:textId="77777777" w:rsidR="004E5B4B" w:rsidRPr="00B72BD5" w:rsidRDefault="004E5B4B" w:rsidP="001F4F29">
      <w:pPr>
        <w:ind w:firstLine="357"/>
        <w:rPr>
          <w:sz w:val="22"/>
          <w:szCs w:val="22"/>
          <w:lang w:val="en-ZA"/>
        </w:rPr>
      </w:pPr>
    </w:p>
    <w:p w14:paraId="053E2946" w14:textId="77777777" w:rsidR="004324E0" w:rsidRPr="00B72BD5" w:rsidRDefault="004324E0" w:rsidP="00334B32">
      <w:pPr>
        <w:pStyle w:val="Heading2"/>
      </w:pPr>
      <w:bookmarkStart w:id="27" w:name="_Toc34813952"/>
      <w:bookmarkStart w:id="28" w:name="_Toc113951212"/>
      <w:r w:rsidRPr="00B72BD5">
        <w:t>Strengthening relationships</w:t>
      </w:r>
      <w:bookmarkEnd w:id="27"/>
      <w:bookmarkEnd w:id="28"/>
    </w:p>
    <w:p w14:paraId="46AA5A52" w14:textId="79F35EB2" w:rsidR="001D71B6" w:rsidRPr="001D71B6" w:rsidRDefault="001D71B6" w:rsidP="001D71B6">
      <w:pPr>
        <w:rPr>
          <w:sz w:val="22"/>
          <w:szCs w:val="22"/>
          <w:lang w:val="en-ZA"/>
        </w:rPr>
      </w:pPr>
      <w:r w:rsidRPr="001D71B6">
        <w:rPr>
          <w:sz w:val="22"/>
          <w:szCs w:val="22"/>
          <w:lang w:val="en-ZA"/>
        </w:rPr>
        <w:t>Namibia currently receives CSO-level funding</w:t>
      </w:r>
      <w:r w:rsidR="00AB06FC">
        <w:rPr>
          <w:sz w:val="22"/>
          <w:szCs w:val="22"/>
          <w:lang w:val="en-ZA"/>
        </w:rPr>
        <w:t xml:space="preserve"> mostly</w:t>
      </w:r>
      <w:r w:rsidRPr="001D71B6">
        <w:rPr>
          <w:sz w:val="22"/>
          <w:szCs w:val="22"/>
          <w:lang w:val="en-ZA"/>
        </w:rPr>
        <w:t xml:space="preserve"> biased towards biomedical interventions. This project enables CSOs to respond to socio-economic, </w:t>
      </w:r>
      <w:proofErr w:type="gramStart"/>
      <w:r w:rsidRPr="001D71B6">
        <w:rPr>
          <w:sz w:val="22"/>
          <w:szCs w:val="22"/>
          <w:lang w:val="en-ZA"/>
        </w:rPr>
        <w:t>socio-cultural</w:t>
      </w:r>
      <w:proofErr w:type="gramEnd"/>
      <w:r w:rsidRPr="001D71B6">
        <w:rPr>
          <w:sz w:val="22"/>
          <w:szCs w:val="22"/>
          <w:lang w:val="en-ZA"/>
        </w:rPr>
        <w:t xml:space="preserve"> and local community responses to facilitate the safety, security, protection, inclusion and integration of LGBT members and AGYW at local level. This project is focused on nurturing relationships between CSOs, build coordination and cohesion in advocacy processes and facilitate processes to amplify community voices in local human rights response processes. </w:t>
      </w:r>
    </w:p>
    <w:p w14:paraId="1057D076" w14:textId="77777777" w:rsidR="001D71B6" w:rsidRPr="001D71B6" w:rsidRDefault="001D71B6" w:rsidP="001D71B6">
      <w:pPr>
        <w:rPr>
          <w:sz w:val="22"/>
          <w:szCs w:val="22"/>
          <w:lang w:val="en-ZA"/>
        </w:rPr>
      </w:pPr>
      <w:r w:rsidRPr="001D71B6">
        <w:rPr>
          <w:sz w:val="22"/>
          <w:szCs w:val="22"/>
          <w:lang w:val="en-ZA"/>
        </w:rPr>
        <w:t xml:space="preserve">The experiences from community-level work, when carried through into national level influencing work, will enhance the quality and depth of the relationship between civil society actors and key national government entities. </w:t>
      </w:r>
    </w:p>
    <w:p w14:paraId="1B45FEC6" w14:textId="2D34F22F" w:rsidR="004324E0" w:rsidRPr="00574CD7" w:rsidRDefault="004324E0" w:rsidP="0074285C">
      <w:pPr>
        <w:ind w:firstLine="357"/>
        <w:rPr>
          <w:sz w:val="22"/>
          <w:szCs w:val="22"/>
          <w:lang w:val="en-ZA"/>
        </w:rPr>
      </w:pPr>
      <w:r w:rsidRPr="00574CD7">
        <w:rPr>
          <w:sz w:val="22"/>
          <w:szCs w:val="22"/>
          <w:lang w:val="en-ZA"/>
        </w:rPr>
        <w:t xml:space="preserve">For </w:t>
      </w:r>
      <w:r w:rsidRPr="00574CD7">
        <w:rPr>
          <w:b/>
          <w:bCs/>
          <w:sz w:val="22"/>
          <w:szCs w:val="22"/>
          <w:lang w:val="en-ZA"/>
        </w:rPr>
        <w:t xml:space="preserve">PV and </w:t>
      </w:r>
      <w:r w:rsidR="008E301A" w:rsidRPr="00574CD7">
        <w:rPr>
          <w:b/>
          <w:bCs/>
          <w:sz w:val="22"/>
          <w:szCs w:val="22"/>
          <w:lang w:val="en-ZA"/>
        </w:rPr>
        <w:t>Spor Media</w:t>
      </w:r>
      <w:r w:rsidRPr="00574CD7">
        <w:rPr>
          <w:sz w:val="22"/>
          <w:szCs w:val="22"/>
          <w:lang w:val="en-ZA"/>
        </w:rPr>
        <w:t xml:space="preserve"> this is a collaborative partnership where each partner contributes its core competencies and experiences to the work, while further developing a shared way of working through learning, reflection, and joint strategic decision making. The organisations have a shared background and overall approach to solidarity and development work. This, combined with a set of overlapping competencies and each organisation’s comparative advantage in different fields, </w:t>
      </w:r>
      <w:proofErr w:type="gramStart"/>
      <w:r w:rsidRPr="00574CD7">
        <w:rPr>
          <w:sz w:val="22"/>
          <w:szCs w:val="22"/>
          <w:lang w:val="en-ZA"/>
        </w:rPr>
        <w:t>opens up</w:t>
      </w:r>
      <w:proofErr w:type="gramEnd"/>
      <w:r w:rsidRPr="00574CD7">
        <w:rPr>
          <w:sz w:val="22"/>
          <w:szCs w:val="22"/>
          <w:lang w:val="en-ZA"/>
        </w:rPr>
        <w:t xml:space="preserve"> many possibilities for adding value to each other’s work and creating synergies. </w:t>
      </w:r>
      <w:proofErr w:type="gramStart"/>
      <w:r w:rsidR="002E5E58" w:rsidRPr="00574CD7">
        <w:rPr>
          <w:sz w:val="22"/>
          <w:szCs w:val="22"/>
          <w:lang w:val="en-ZA"/>
        </w:rPr>
        <w:t>In particular can</w:t>
      </w:r>
      <w:proofErr w:type="gramEnd"/>
      <w:r w:rsidR="002E5E58" w:rsidRPr="00574CD7">
        <w:rPr>
          <w:sz w:val="22"/>
          <w:szCs w:val="22"/>
          <w:lang w:val="en-ZA"/>
        </w:rPr>
        <w:t xml:space="preserve"> </w:t>
      </w:r>
      <w:r w:rsidR="001F7A25" w:rsidRPr="00574CD7">
        <w:rPr>
          <w:sz w:val="22"/>
          <w:szCs w:val="22"/>
          <w:lang w:val="en-ZA"/>
        </w:rPr>
        <w:t>be mentioned</w:t>
      </w:r>
      <w:r w:rsidR="00B74CCF" w:rsidRPr="00574CD7">
        <w:rPr>
          <w:sz w:val="22"/>
          <w:szCs w:val="22"/>
          <w:lang w:val="en-ZA"/>
        </w:rPr>
        <w:t xml:space="preserve">: </w:t>
      </w:r>
    </w:p>
    <w:p w14:paraId="6F79A2DD" w14:textId="2BEA0C53" w:rsidR="0013717D" w:rsidRPr="00574CD7" w:rsidRDefault="009D4FF7" w:rsidP="00F032FD">
      <w:pPr>
        <w:pStyle w:val="ListParagraph"/>
        <w:numPr>
          <w:ilvl w:val="0"/>
          <w:numId w:val="44"/>
        </w:numPr>
        <w:rPr>
          <w:sz w:val="22"/>
          <w:lang w:val="en-ZA"/>
        </w:rPr>
      </w:pPr>
      <w:r>
        <w:rPr>
          <w:sz w:val="22"/>
          <w:lang w:val="en-ZA"/>
        </w:rPr>
        <w:t>F</w:t>
      </w:r>
      <w:r w:rsidR="00E327C6" w:rsidRPr="00574CD7">
        <w:rPr>
          <w:sz w:val="22"/>
          <w:lang w:val="en-ZA"/>
        </w:rPr>
        <w:t>urther development of the strategy and approach of the AYP work</w:t>
      </w:r>
      <w:r>
        <w:rPr>
          <w:sz w:val="22"/>
          <w:lang w:val="en-ZA"/>
        </w:rPr>
        <w:t xml:space="preserve"> through shared learning</w:t>
      </w:r>
      <w:r w:rsidR="00C64603">
        <w:rPr>
          <w:sz w:val="22"/>
          <w:lang w:val="en-ZA"/>
        </w:rPr>
        <w:t>.</w:t>
      </w:r>
    </w:p>
    <w:p w14:paraId="1B2FB56F" w14:textId="0F3B42AD" w:rsidR="008941C9" w:rsidRPr="00574CD7" w:rsidRDefault="008941C9" w:rsidP="00F032FD">
      <w:pPr>
        <w:pStyle w:val="ListParagraph"/>
        <w:numPr>
          <w:ilvl w:val="0"/>
          <w:numId w:val="44"/>
        </w:numPr>
        <w:rPr>
          <w:sz w:val="22"/>
          <w:lang w:val="en-ZA"/>
        </w:rPr>
      </w:pPr>
      <w:r w:rsidRPr="00574CD7">
        <w:rPr>
          <w:sz w:val="22"/>
          <w:lang w:val="en-ZA"/>
        </w:rPr>
        <w:t>Co-creation</w:t>
      </w:r>
      <w:r w:rsidR="00AD41A7" w:rsidRPr="00574CD7">
        <w:rPr>
          <w:sz w:val="22"/>
          <w:lang w:val="en-ZA"/>
        </w:rPr>
        <w:t>/further development</w:t>
      </w:r>
      <w:r w:rsidRPr="00574CD7">
        <w:rPr>
          <w:sz w:val="22"/>
          <w:lang w:val="en-ZA"/>
        </w:rPr>
        <w:t xml:space="preserve"> of methodologies </w:t>
      </w:r>
      <w:r w:rsidR="00550B07" w:rsidRPr="00574CD7">
        <w:rPr>
          <w:sz w:val="22"/>
          <w:lang w:val="en-ZA"/>
        </w:rPr>
        <w:t>to enhance</w:t>
      </w:r>
      <w:r w:rsidRPr="00574CD7">
        <w:rPr>
          <w:sz w:val="22"/>
          <w:lang w:val="en-ZA"/>
        </w:rPr>
        <w:t xml:space="preserve"> civic participation </w:t>
      </w:r>
      <w:r w:rsidR="000C30B0" w:rsidRPr="00574CD7">
        <w:rPr>
          <w:sz w:val="22"/>
          <w:lang w:val="en-ZA"/>
        </w:rPr>
        <w:t xml:space="preserve">in systems monitoring and </w:t>
      </w:r>
      <w:r w:rsidR="008A3BBF" w:rsidRPr="00574CD7">
        <w:rPr>
          <w:sz w:val="22"/>
          <w:lang w:val="en-ZA"/>
        </w:rPr>
        <w:t xml:space="preserve">partner </w:t>
      </w:r>
      <w:r w:rsidRPr="00574CD7">
        <w:rPr>
          <w:sz w:val="22"/>
          <w:lang w:val="en-ZA"/>
        </w:rPr>
        <w:t xml:space="preserve">resource </w:t>
      </w:r>
      <w:r w:rsidR="00125493" w:rsidRPr="00574CD7">
        <w:rPr>
          <w:sz w:val="22"/>
          <w:lang w:val="en-ZA"/>
        </w:rPr>
        <w:t>mobilisation.</w:t>
      </w:r>
      <w:r w:rsidRPr="00574CD7">
        <w:rPr>
          <w:sz w:val="22"/>
          <w:lang w:val="en-ZA"/>
        </w:rPr>
        <w:t xml:space="preserve"> </w:t>
      </w:r>
    </w:p>
    <w:p w14:paraId="73C5DB41" w14:textId="29888F99" w:rsidR="00CC2227" w:rsidRPr="00574CD7" w:rsidRDefault="00125493" w:rsidP="004C2431">
      <w:pPr>
        <w:pStyle w:val="ListParagraph"/>
        <w:numPr>
          <w:ilvl w:val="0"/>
          <w:numId w:val="44"/>
        </w:numPr>
        <w:rPr>
          <w:sz w:val="22"/>
          <w:lang w:val="en-ZA"/>
        </w:rPr>
      </w:pPr>
      <w:r w:rsidRPr="00574CD7">
        <w:rPr>
          <w:sz w:val="22"/>
          <w:lang w:val="en-ZA"/>
        </w:rPr>
        <w:t xml:space="preserve">Jointly </w:t>
      </w:r>
      <w:r w:rsidR="00026F3C" w:rsidRPr="00574CD7">
        <w:rPr>
          <w:sz w:val="22"/>
          <w:lang w:val="en-ZA"/>
        </w:rPr>
        <w:t>explore new partnership and funding opportunities</w:t>
      </w:r>
      <w:r w:rsidR="00A20291" w:rsidRPr="00574CD7">
        <w:rPr>
          <w:sz w:val="22"/>
          <w:lang w:val="en-ZA"/>
        </w:rPr>
        <w:t xml:space="preserve"> and </w:t>
      </w:r>
      <w:r w:rsidR="00C967D6" w:rsidRPr="00574CD7">
        <w:rPr>
          <w:sz w:val="22"/>
          <w:lang w:val="en-ZA"/>
        </w:rPr>
        <w:t xml:space="preserve">hopefully develop long term partnerships </w:t>
      </w:r>
      <w:r w:rsidR="00BB203A" w:rsidRPr="00574CD7">
        <w:rPr>
          <w:sz w:val="22"/>
          <w:lang w:val="en-ZA"/>
        </w:rPr>
        <w:t xml:space="preserve">for PV </w:t>
      </w:r>
      <w:r w:rsidR="00C967D6" w:rsidRPr="00574CD7">
        <w:rPr>
          <w:sz w:val="22"/>
          <w:lang w:val="en-ZA"/>
        </w:rPr>
        <w:t>beyond the present PV/Spor collaboration.</w:t>
      </w:r>
    </w:p>
    <w:p w14:paraId="1AAB665B" w14:textId="4AB4ED00" w:rsidR="00E13742" w:rsidRPr="00574CD7" w:rsidRDefault="00954F43" w:rsidP="008941C9">
      <w:pPr>
        <w:ind w:firstLine="357"/>
        <w:rPr>
          <w:sz w:val="22"/>
          <w:szCs w:val="22"/>
          <w:lang w:val="en-ZA"/>
        </w:rPr>
      </w:pPr>
      <w:r w:rsidRPr="00574CD7">
        <w:rPr>
          <w:sz w:val="22"/>
          <w:szCs w:val="22"/>
          <w:lang w:val="en-ZA"/>
        </w:rPr>
        <w:t xml:space="preserve">Through such joint processes both partners will get </w:t>
      </w:r>
      <w:r w:rsidR="004308EE" w:rsidRPr="00574CD7">
        <w:rPr>
          <w:sz w:val="22"/>
          <w:szCs w:val="22"/>
          <w:lang w:val="en-ZA"/>
        </w:rPr>
        <w:t xml:space="preserve">new </w:t>
      </w:r>
      <w:r w:rsidR="00A36D56" w:rsidRPr="00574CD7">
        <w:rPr>
          <w:sz w:val="22"/>
          <w:szCs w:val="22"/>
          <w:lang w:val="en-ZA"/>
        </w:rPr>
        <w:t>shared learning, updated shared methodologies</w:t>
      </w:r>
      <w:r w:rsidR="00FB4204" w:rsidRPr="00574CD7">
        <w:rPr>
          <w:sz w:val="22"/>
          <w:szCs w:val="22"/>
          <w:lang w:val="en-ZA"/>
        </w:rPr>
        <w:t xml:space="preserve"> </w:t>
      </w:r>
      <w:r w:rsidR="00A14C61" w:rsidRPr="00574CD7">
        <w:rPr>
          <w:sz w:val="22"/>
          <w:szCs w:val="22"/>
          <w:lang w:val="en-ZA"/>
        </w:rPr>
        <w:t>and new</w:t>
      </w:r>
      <w:r w:rsidR="00E13742" w:rsidRPr="00574CD7">
        <w:rPr>
          <w:sz w:val="22"/>
          <w:szCs w:val="22"/>
          <w:lang w:val="en-ZA"/>
        </w:rPr>
        <w:t xml:space="preserve"> linkages and potential partners in the global development landscape</w:t>
      </w:r>
      <w:r w:rsidR="00702738" w:rsidRPr="00574CD7">
        <w:rPr>
          <w:sz w:val="22"/>
          <w:szCs w:val="22"/>
          <w:lang w:val="en-ZA"/>
        </w:rPr>
        <w:t xml:space="preserve">, all </w:t>
      </w:r>
      <w:r w:rsidR="00FB4204" w:rsidRPr="00574CD7">
        <w:rPr>
          <w:sz w:val="22"/>
          <w:szCs w:val="22"/>
          <w:lang w:val="en-ZA"/>
        </w:rPr>
        <w:t xml:space="preserve">contributing to a broader shared </w:t>
      </w:r>
      <w:r w:rsidR="00574CD7" w:rsidRPr="00574CD7">
        <w:rPr>
          <w:sz w:val="22"/>
          <w:szCs w:val="22"/>
          <w:lang w:val="en-ZA"/>
        </w:rPr>
        <w:t xml:space="preserve">basis for </w:t>
      </w:r>
      <w:r w:rsidR="00702738" w:rsidRPr="00574CD7">
        <w:rPr>
          <w:sz w:val="22"/>
          <w:szCs w:val="22"/>
          <w:lang w:val="en-ZA"/>
        </w:rPr>
        <w:t>their future joint work and in their individual work as well.</w:t>
      </w:r>
    </w:p>
    <w:p w14:paraId="674BBF07" w14:textId="77777777" w:rsidR="004324E0" w:rsidRPr="00B72BD5" w:rsidRDefault="004324E0" w:rsidP="00334B32">
      <w:pPr>
        <w:rPr>
          <w:sz w:val="22"/>
          <w:szCs w:val="22"/>
          <w:lang w:val="en-ZA"/>
        </w:rPr>
      </w:pPr>
    </w:p>
    <w:p w14:paraId="026B0DB5" w14:textId="77777777" w:rsidR="00DF1D16" w:rsidRPr="00B72BD5" w:rsidRDefault="00DF1D16" w:rsidP="00334B32">
      <w:pPr>
        <w:pStyle w:val="Heading2"/>
      </w:pPr>
      <w:bookmarkStart w:id="29" w:name="_Toc34813963"/>
      <w:bookmarkStart w:id="30" w:name="_Toc113951213"/>
      <w:r w:rsidRPr="00B72BD5">
        <w:lastRenderedPageBreak/>
        <w:t>Linking to, and leveraging, other priorities, plans and resources in the context</w:t>
      </w:r>
      <w:bookmarkEnd w:id="29"/>
      <w:bookmarkEnd w:id="30"/>
      <w:r w:rsidRPr="00B72BD5">
        <w:t xml:space="preserve"> </w:t>
      </w:r>
    </w:p>
    <w:p w14:paraId="5FF99D03" w14:textId="77777777" w:rsidR="00DF1D16" w:rsidRPr="00B72BD5" w:rsidRDefault="00DF1D16" w:rsidP="00334B32">
      <w:pPr>
        <w:tabs>
          <w:tab w:val="left" w:pos="3372"/>
        </w:tabs>
        <w:rPr>
          <w:rStyle w:val="Style1"/>
          <w:rFonts w:asciiTheme="minorHAnsi" w:hAnsiTheme="minorHAnsi"/>
          <w:sz w:val="22"/>
          <w:szCs w:val="22"/>
          <w:lang w:val="en-ZA"/>
        </w:rPr>
      </w:pPr>
      <w:r w:rsidRPr="00B72BD5">
        <w:rPr>
          <w:sz w:val="22"/>
          <w:szCs w:val="22"/>
          <w:lang w:val="en-ZA"/>
        </w:rPr>
        <w:t>The government of Namibia spends a very significant part of the national budget on education and on the health system to the benefit of young people, including our specific target groups. MSM, transwomen and AGYW are prioritised within Namibia’s National Strategic Framework (NSF) for HIV/AIDS (2017/18 to 2021/22) and t</w:t>
      </w:r>
      <w:r w:rsidRPr="00B72BD5">
        <w:rPr>
          <w:rStyle w:val="Style1"/>
          <w:rFonts w:asciiTheme="minorHAnsi" w:hAnsiTheme="minorHAnsi"/>
          <w:sz w:val="22"/>
          <w:szCs w:val="22"/>
          <w:lang w:val="en-ZA"/>
        </w:rPr>
        <w:t>he Namibian national development plan, ‘Vision 2030’, recognises gender equity as a cornerstone of national efforts to achieve sustainable development.</w:t>
      </w:r>
    </w:p>
    <w:p w14:paraId="06096825" w14:textId="77777777" w:rsidR="00DF1D16" w:rsidRPr="00B72BD5" w:rsidRDefault="00DF1D16" w:rsidP="004276C9">
      <w:pPr>
        <w:tabs>
          <w:tab w:val="left" w:pos="3372"/>
        </w:tabs>
        <w:ind w:firstLine="357"/>
        <w:rPr>
          <w:sz w:val="22"/>
          <w:szCs w:val="22"/>
          <w:lang w:val="en-ZA"/>
        </w:rPr>
      </w:pPr>
      <w:r w:rsidRPr="00B72BD5">
        <w:rPr>
          <w:sz w:val="22"/>
          <w:szCs w:val="22"/>
          <w:lang w:val="en-ZA"/>
        </w:rPr>
        <w:t xml:space="preserve">This work is supported by various donor-funded initiatives which Namibia is currently implementing, the two largest of which are DREAMS under PEPFAR and the National Global Fund Programme, both in collaboration with the </w:t>
      </w:r>
      <w:proofErr w:type="spellStart"/>
      <w:r w:rsidRPr="00B72BD5">
        <w:rPr>
          <w:sz w:val="22"/>
          <w:szCs w:val="22"/>
          <w:lang w:val="en-ZA"/>
        </w:rPr>
        <w:t>MoHSS</w:t>
      </w:r>
      <w:proofErr w:type="spellEnd"/>
      <w:r w:rsidRPr="00B72BD5">
        <w:rPr>
          <w:sz w:val="22"/>
          <w:szCs w:val="22"/>
          <w:lang w:val="en-ZA"/>
        </w:rPr>
        <w:t xml:space="preserve">. </w:t>
      </w:r>
    </w:p>
    <w:p w14:paraId="429F66C5" w14:textId="77777777" w:rsidR="008879EF" w:rsidRDefault="00DF1D16" w:rsidP="004276C9">
      <w:pPr>
        <w:ind w:firstLine="357"/>
        <w:rPr>
          <w:sz w:val="22"/>
          <w:szCs w:val="22"/>
          <w:lang w:val="en-ZA"/>
        </w:rPr>
      </w:pPr>
      <w:r w:rsidRPr="00B72BD5">
        <w:rPr>
          <w:sz w:val="22"/>
          <w:szCs w:val="22"/>
          <w:lang w:val="en-ZA"/>
        </w:rPr>
        <w:t xml:space="preserve">While this donor-supported work is </w:t>
      </w:r>
      <w:r w:rsidR="002876BE">
        <w:rPr>
          <w:sz w:val="22"/>
          <w:szCs w:val="22"/>
          <w:lang w:val="en-ZA"/>
        </w:rPr>
        <w:t xml:space="preserve">mostly </w:t>
      </w:r>
      <w:r w:rsidRPr="00B72BD5">
        <w:rPr>
          <w:sz w:val="22"/>
          <w:szCs w:val="22"/>
          <w:lang w:val="en-ZA"/>
        </w:rPr>
        <w:t xml:space="preserve">narrowly focused on health outcomes, </w:t>
      </w:r>
      <w:r w:rsidRPr="00B72BD5">
        <w:rPr>
          <w:i/>
          <w:iCs/>
          <w:sz w:val="22"/>
          <w:szCs w:val="22"/>
          <w:lang w:val="en-ZA"/>
        </w:rPr>
        <w:t>it nevertheless has opened very important spaces for dialogue on broader rights issues related to LGBT+ people, sex workers and AGYWs</w:t>
      </w:r>
      <w:r w:rsidRPr="008E114E">
        <w:rPr>
          <w:i/>
          <w:iCs/>
          <w:sz w:val="22"/>
          <w:szCs w:val="22"/>
          <w:lang w:val="en-ZA"/>
        </w:rPr>
        <w:t xml:space="preserve">. </w:t>
      </w:r>
      <w:r w:rsidRPr="008E114E">
        <w:rPr>
          <w:sz w:val="22"/>
          <w:szCs w:val="22"/>
          <w:lang w:val="en-ZA"/>
        </w:rPr>
        <w:t>PV works within both the Health and Rights arenas</w:t>
      </w:r>
      <w:r w:rsidR="00EA0503" w:rsidRPr="008E114E">
        <w:rPr>
          <w:sz w:val="22"/>
          <w:szCs w:val="22"/>
          <w:lang w:val="en-ZA"/>
        </w:rPr>
        <w:t xml:space="preserve"> </w:t>
      </w:r>
      <w:r w:rsidR="002876BE" w:rsidRPr="008E114E">
        <w:rPr>
          <w:sz w:val="22"/>
          <w:szCs w:val="22"/>
          <w:lang w:val="en-ZA"/>
        </w:rPr>
        <w:t>and is</w:t>
      </w:r>
      <w:r w:rsidRPr="008E114E">
        <w:rPr>
          <w:sz w:val="22"/>
          <w:szCs w:val="22"/>
          <w:lang w:val="en-ZA"/>
        </w:rPr>
        <w:t xml:space="preserve"> </w:t>
      </w:r>
      <w:r w:rsidR="00EA0503" w:rsidRPr="008E114E">
        <w:rPr>
          <w:sz w:val="22"/>
          <w:szCs w:val="22"/>
          <w:lang w:val="en-ZA"/>
        </w:rPr>
        <w:t xml:space="preserve">thus </w:t>
      </w:r>
      <w:r w:rsidRPr="008E114E">
        <w:rPr>
          <w:sz w:val="22"/>
          <w:szCs w:val="22"/>
          <w:lang w:val="en-ZA"/>
        </w:rPr>
        <w:t xml:space="preserve">ideally placed to secure coordination </w:t>
      </w:r>
      <w:r w:rsidR="00A50D78" w:rsidRPr="008E114E">
        <w:rPr>
          <w:sz w:val="22"/>
          <w:szCs w:val="22"/>
          <w:lang w:val="en-ZA"/>
        </w:rPr>
        <w:t xml:space="preserve">and synergy </w:t>
      </w:r>
      <w:r w:rsidRPr="008E114E">
        <w:rPr>
          <w:sz w:val="22"/>
          <w:szCs w:val="22"/>
          <w:lang w:val="en-ZA"/>
        </w:rPr>
        <w:t>of its</w:t>
      </w:r>
      <w:r w:rsidRPr="00B72BD5">
        <w:rPr>
          <w:sz w:val="22"/>
          <w:szCs w:val="22"/>
          <w:lang w:val="en-ZA"/>
        </w:rPr>
        <w:t xml:space="preserve"> work with the larger health initiatives and influence these through its participation in key Technical Working Groups and Advisory Committees under the </w:t>
      </w:r>
      <w:proofErr w:type="spellStart"/>
      <w:r w:rsidRPr="00B72BD5">
        <w:rPr>
          <w:sz w:val="22"/>
          <w:szCs w:val="22"/>
          <w:lang w:val="en-ZA"/>
        </w:rPr>
        <w:t>MoHSS</w:t>
      </w:r>
      <w:proofErr w:type="spellEnd"/>
      <w:r w:rsidR="00FF74CF">
        <w:rPr>
          <w:sz w:val="22"/>
          <w:szCs w:val="22"/>
          <w:lang w:val="en-ZA"/>
        </w:rPr>
        <w:t xml:space="preserve">. </w:t>
      </w:r>
    </w:p>
    <w:p w14:paraId="127505DD" w14:textId="0EFE0252" w:rsidR="00A563C3" w:rsidRDefault="00C95F0D" w:rsidP="005E1BE3">
      <w:pPr>
        <w:ind w:firstLine="357"/>
        <w:rPr>
          <w:rFonts w:ascii="Calibri" w:eastAsia="Calibri" w:hAnsi="Calibri" w:cs="Calibri"/>
          <w:noProof/>
          <w:sz w:val="22"/>
          <w:lang w:val="en-ZA"/>
        </w:rPr>
      </w:pPr>
      <w:r>
        <w:rPr>
          <w:sz w:val="22"/>
          <w:szCs w:val="22"/>
          <w:lang w:val="en-ZA"/>
        </w:rPr>
        <w:t>The</w:t>
      </w:r>
      <w:r w:rsidR="00A563C3" w:rsidRPr="00544EA7">
        <w:rPr>
          <w:rFonts w:ascii="Calibri" w:eastAsia="Calibri" w:hAnsi="Calibri" w:cs="Calibri"/>
          <w:noProof/>
          <w:sz w:val="22"/>
          <w:lang w:val="en-ZA"/>
        </w:rPr>
        <w:t xml:space="preserve"> project will align with and  and support other activities funded through various PV mechanisms. These projects focus on building community skills on community led monitoring, building an intersectional feminist movement, and working with local CSOs to implement advocacy activities. The project also aims to create synergy with other activities already engaging with social and local media such as local radio stations to increase the information level about inclusion, safety and well being for AGYW and LGBT persons aged 15-24 year old.</w:t>
      </w:r>
      <w:r w:rsidR="0026236D">
        <w:rPr>
          <w:rFonts w:ascii="Calibri" w:eastAsia="Calibri" w:hAnsi="Calibri" w:cs="Calibri"/>
          <w:noProof/>
          <w:sz w:val="22"/>
          <w:lang w:val="en-ZA"/>
        </w:rPr>
        <w:t xml:space="preserve"> </w:t>
      </w:r>
      <w:r w:rsidR="0053487F">
        <w:rPr>
          <w:rFonts w:ascii="Calibri" w:eastAsia="Calibri" w:hAnsi="Calibri" w:cs="Calibri"/>
          <w:noProof/>
          <w:sz w:val="22"/>
          <w:lang w:val="en-ZA"/>
        </w:rPr>
        <w:t>In addition</w:t>
      </w:r>
      <w:r w:rsidR="007C0692">
        <w:rPr>
          <w:rFonts w:ascii="Calibri" w:eastAsia="Calibri" w:hAnsi="Calibri" w:cs="Calibri"/>
          <w:noProof/>
          <w:sz w:val="22"/>
          <w:lang w:val="en-ZA"/>
        </w:rPr>
        <w:t>,</w:t>
      </w:r>
      <w:r w:rsidR="0053487F">
        <w:rPr>
          <w:rFonts w:ascii="Calibri" w:eastAsia="Calibri" w:hAnsi="Calibri" w:cs="Calibri"/>
          <w:noProof/>
          <w:sz w:val="22"/>
          <w:lang w:val="en-ZA"/>
        </w:rPr>
        <w:t xml:space="preserve"> </w:t>
      </w:r>
      <w:r w:rsidR="00200620">
        <w:rPr>
          <w:rFonts w:ascii="Calibri" w:eastAsia="Calibri" w:hAnsi="Calibri" w:cs="Calibri"/>
          <w:noProof/>
          <w:sz w:val="22"/>
          <w:lang w:val="en-ZA"/>
        </w:rPr>
        <w:t>2</w:t>
      </w:r>
      <w:r w:rsidR="0053487F">
        <w:rPr>
          <w:rFonts w:ascii="Calibri" w:eastAsia="Calibri" w:hAnsi="Calibri" w:cs="Calibri"/>
          <w:noProof/>
          <w:sz w:val="22"/>
          <w:lang w:val="en-ZA"/>
        </w:rPr>
        <w:t xml:space="preserve"> new</w:t>
      </w:r>
      <w:r w:rsidR="005C5F1A">
        <w:rPr>
          <w:rFonts w:ascii="Calibri" w:eastAsia="Calibri" w:hAnsi="Calibri" w:cs="Calibri"/>
          <w:noProof/>
          <w:sz w:val="22"/>
          <w:lang w:val="en-ZA"/>
        </w:rPr>
        <w:t xml:space="preserve"> PV projects </w:t>
      </w:r>
      <w:r w:rsidR="00B72DD3">
        <w:rPr>
          <w:rFonts w:ascii="Calibri" w:eastAsia="Calibri" w:hAnsi="Calibri" w:cs="Calibri"/>
          <w:noProof/>
          <w:sz w:val="22"/>
          <w:lang w:val="en-ZA"/>
        </w:rPr>
        <w:t xml:space="preserve">both working at the national level </w:t>
      </w:r>
      <w:r w:rsidR="005C5F1A">
        <w:rPr>
          <w:rFonts w:ascii="Calibri" w:eastAsia="Calibri" w:hAnsi="Calibri" w:cs="Calibri"/>
          <w:noProof/>
          <w:sz w:val="22"/>
          <w:lang w:val="en-ZA"/>
        </w:rPr>
        <w:t>stand out:</w:t>
      </w:r>
    </w:p>
    <w:p w14:paraId="247E9104" w14:textId="4AF30DA3" w:rsidR="003E340C" w:rsidRPr="001E6031" w:rsidRDefault="003E340C" w:rsidP="003E340C">
      <w:pPr>
        <w:ind w:firstLine="357"/>
        <w:rPr>
          <w:sz w:val="22"/>
          <w:szCs w:val="22"/>
          <w:lang w:val="en-US"/>
        </w:rPr>
      </w:pPr>
      <w:r w:rsidRPr="001A573F">
        <w:rPr>
          <w:b/>
          <w:bCs/>
          <w:sz w:val="22"/>
          <w:szCs w:val="22"/>
          <w:lang w:val="en-US"/>
        </w:rPr>
        <w:t xml:space="preserve">Inclusive Governance </w:t>
      </w:r>
      <w:r w:rsidR="003948D7" w:rsidRPr="001A573F">
        <w:rPr>
          <w:b/>
          <w:bCs/>
          <w:sz w:val="22"/>
          <w:szCs w:val="22"/>
          <w:lang w:val="en-US"/>
        </w:rPr>
        <w:t>Initiative</w:t>
      </w:r>
      <w:r w:rsidR="003948D7">
        <w:rPr>
          <w:b/>
          <w:bCs/>
          <w:sz w:val="22"/>
          <w:szCs w:val="22"/>
          <w:lang w:val="en-US"/>
        </w:rPr>
        <w:t xml:space="preserve"> (IGI)</w:t>
      </w:r>
      <w:r w:rsidRPr="001A573F">
        <w:rPr>
          <w:b/>
          <w:bCs/>
          <w:sz w:val="22"/>
          <w:szCs w:val="22"/>
          <w:lang w:val="en-US"/>
        </w:rPr>
        <w:t xml:space="preserve"> </w:t>
      </w:r>
      <w:r w:rsidRPr="003948D7">
        <w:rPr>
          <w:sz w:val="22"/>
          <w:szCs w:val="22"/>
          <w:lang w:val="en-US"/>
        </w:rPr>
        <w:t>(2020-2023).</w:t>
      </w:r>
      <w:r w:rsidRPr="00544EA7">
        <w:rPr>
          <w:sz w:val="22"/>
          <w:szCs w:val="22"/>
          <w:lang w:val="en-US"/>
        </w:rPr>
        <w:t xml:space="preserve"> This </w:t>
      </w:r>
      <w:r w:rsidR="00BF4C3F">
        <w:rPr>
          <w:sz w:val="22"/>
          <w:szCs w:val="22"/>
          <w:lang w:val="en-US"/>
        </w:rPr>
        <w:t xml:space="preserve">new UNDP </w:t>
      </w:r>
      <w:r w:rsidRPr="00544EA7">
        <w:rPr>
          <w:sz w:val="22"/>
          <w:szCs w:val="22"/>
          <w:lang w:val="en-US"/>
        </w:rPr>
        <w:t>program</w:t>
      </w:r>
      <w:r w:rsidR="00C276B7">
        <w:rPr>
          <w:sz w:val="22"/>
          <w:szCs w:val="22"/>
          <w:lang w:val="en-US"/>
        </w:rPr>
        <w:t xml:space="preserve"> </w:t>
      </w:r>
      <w:r w:rsidR="00552255">
        <w:rPr>
          <w:sz w:val="22"/>
          <w:szCs w:val="22"/>
          <w:lang w:val="en-US"/>
        </w:rPr>
        <w:t>with SIDA as the main funder</w:t>
      </w:r>
      <w:r w:rsidR="001A573F">
        <w:rPr>
          <w:sz w:val="22"/>
          <w:szCs w:val="22"/>
          <w:lang w:val="en-US"/>
        </w:rPr>
        <w:t xml:space="preserve"> works in </w:t>
      </w:r>
      <w:r w:rsidR="00EF4507">
        <w:rPr>
          <w:sz w:val="22"/>
          <w:szCs w:val="22"/>
          <w:lang w:val="en-US"/>
        </w:rPr>
        <w:t>11</w:t>
      </w:r>
      <w:r w:rsidR="001A573F">
        <w:rPr>
          <w:sz w:val="22"/>
          <w:szCs w:val="22"/>
          <w:lang w:val="en-US"/>
        </w:rPr>
        <w:t xml:space="preserve"> countries in Africa</w:t>
      </w:r>
      <w:r w:rsidR="00BF4C3F">
        <w:rPr>
          <w:sz w:val="22"/>
          <w:szCs w:val="22"/>
          <w:lang w:val="en-US"/>
        </w:rPr>
        <w:t xml:space="preserve">. PV is the Namibian partner </w:t>
      </w:r>
      <w:r w:rsidR="00235741">
        <w:rPr>
          <w:sz w:val="22"/>
          <w:szCs w:val="22"/>
          <w:lang w:val="en-US"/>
        </w:rPr>
        <w:t>and has various roles across the</w:t>
      </w:r>
      <w:r w:rsidR="009B22BD">
        <w:rPr>
          <w:sz w:val="22"/>
          <w:szCs w:val="22"/>
          <w:lang w:val="en-US"/>
        </w:rPr>
        <w:t xml:space="preserve"> African</w:t>
      </w:r>
      <w:r w:rsidR="00235741">
        <w:rPr>
          <w:sz w:val="22"/>
          <w:szCs w:val="22"/>
          <w:lang w:val="en-US"/>
        </w:rPr>
        <w:t xml:space="preserve"> regio</w:t>
      </w:r>
      <w:r w:rsidR="00035562">
        <w:rPr>
          <w:sz w:val="22"/>
          <w:szCs w:val="22"/>
          <w:lang w:val="en-US"/>
        </w:rPr>
        <w:t>nal work as well</w:t>
      </w:r>
      <w:r w:rsidR="00235741">
        <w:rPr>
          <w:sz w:val="22"/>
          <w:szCs w:val="22"/>
          <w:lang w:val="en-US"/>
        </w:rPr>
        <w:t>. The progra</w:t>
      </w:r>
      <w:r w:rsidR="00E22AA7">
        <w:rPr>
          <w:sz w:val="22"/>
          <w:szCs w:val="22"/>
          <w:lang w:val="en-US"/>
        </w:rPr>
        <w:t>m</w:t>
      </w:r>
      <w:r w:rsidRPr="00544EA7">
        <w:rPr>
          <w:sz w:val="22"/>
          <w:szCs w:val="22"/>
          <w:lang w:val="en-US"/>
        </w:rPr>
        <w:t xml:space="preserve"> focuses on the realization of equitable and just societies that are inclusive and tailored for SOGIE diversity. This goal aims to meet the need to undo structural inequities prevalent within the country and enable the democratization of governance at multiple levels including civil, corporate, traditional, faith, and state. This work will be done through the accompaniment of Influential Champions to meaningfully and actively involve LGBT+ persons in governance processes; b) Build the capacity of CSO and allies to engage and influence public policy </w:t>
      </w:r>
      <w:proofErr w:type="gramStart"/>
      <w:r w:rsidRPr="00544EA7">
        <w:rPr>
          <w:sz w:val="22"/>
          <w:szCs w:val="22"/>
          <w:lang w:val="en-US"/>
        </w:rPr>
        <w:t>and;</w:t>
      </w:r>
      <w:proofErr w:type="gramEnd"/>
      <w:r w:rsidRPr="00544EA7">
        <w:rPr>
          <w:sz w:val="22"/>
          <w:szCs w:val="22"/>
          <w:lang w:val="en-US"/>
        </w:rPr>
        <w:t xml:space="preserve"> c) Legislative Advocacy</w:t>
      </w:r>
      <w:r>
        <w:rPr>
          <w:sz w:val="22"/>
          <w:szCs w:val="22"/>
          <w:lang w:val="en-US"/>
        </w:rPr>
        <w:t xml:space="preserve">. This initiative will work through existing national platforms to influence the involvement of LGBT persons in governance. Specific work with influential allies involve </w:t>
      </w:r>
      <w:r w:rsidRPr="001E6031">
        <w:rPr>
          <w:sz w:val="22"/>
          <w:szCs w:val="22"/>
          <w:lang w:val="en-US"/>
        </w:rPr>
        <w:t>a) Accompaniment of the National Assembly: Directorate of Committee Affairs in the implementation of the SRH-R  workplan</w:t>
      </w:r>
      <w:r>
        <w:rPr>
          <w:sz w:val="22"/>
          <w:szCs w:val="22"/>
          <w:lang w:val="en-US"/>
        </w:rPr>
        <w:t>; b</w:t>
      </w:r>
      <w:r w:rsidRPr="001E6031">
        <w:rPr>
          <w:sz w:val="22"/>
          <w:szCs w:val="22"/>
          <w:lang w:val="en-US"/>
        </w:rPr>
        <w:t>) Accompaniment of in-coming Ombudsman on the development and actioning of the new National Human Rights Action plan with an amplified focus on SOGIE</w:t>
      </w:r>
      <w:r>
        <w:rPr>
          <w:sz w:val="22"/>
          <w:szCs w:val="22"/>
          <w:lang w:val="en-US"/>
        </w:rPr>
        <w:t xml:space="preserve">; </w:t>
      </w:r>
      <w:r w:rsidRPr="001E6031">
        <w:rPr>
          <w:sz w:val="22"/>
          <w:szCs w:val="22"/>
          <w:lang w:val="en-US"/>
        </w:rPr>
        <w:t xml:space="preserve">c) Continued engagement with the </w:t>
      </w:r>
      <w:proofErr w:type="spellStart"/>
      <w:r w:rsidRPr="001E6031">
        <w:rPr>
          <w:sz w:val="22"/>
          <w:szCs w:val="22"/>
          <w:lang w:val="en-US"/>
        </w:rPr>
        <w:t>MoJ</w:t>
      </w:r>
      <w:proofErr w:type="spellEnd"/>
      <w:r w:rsidRPr="001E6031">
        <w:rPr>
          <w:sz w:val="22"/>
          <w:szCs w:val="22"/>
          <w:lang w:val="en-US"/>
        </w:rPr>
        <w:t xml:space="preserve"> minister on the repeal/amendment of laws impacting LGBT persons </w:t>
      </w:r>
      <w:r>
        <w:rPr>
          <w:sz w:val="22"/>
          <w:szCs w:val="22"/>
          <w:lang w:val="en-US"/>
        </w:rPr>
        <w:t xml:space="preserve">d) </w:t>
      </w:r>
      <w:r w:rsidRPr="001E6031">
        <w:rPr>
          <w:sz w:val="22"/>
          <w:szCs w:val="22"/>
          <w:lang w:val="en-US"/>
        </w:rPr>
        <w:t xml:space="preserve">Continued engagement of First Lady Monica </w:t>
      </w:r>
      <w:proofErr w:type="spellStart"/>
      <w:r w:rsidRPr="001E6031">
        <w:rPr>
          <w:sz w:val="22"/>
          <w:szCs w:val="22"/>
          <w:lang w:val="en-US"/>
        </w:rPr>
        <w:t>Geingos</w:t>
      </w:r>
      <w:proofErr w:type="spellEnd"/>
      <w:r w:rsidRPr="001E6031">
        <w:rPr>
          <w:sz w:val="22"/>
          <w:szCs w:val="22"/>
          <w:lang w:val="en-US"/>
        </w:rPr>
        <w:t xml:space="preserve"> on her office support of LGBT inclusion in decision making and good governance of Namibia </w:t>
      </w:r>
      <w:r>
        <w:rPr>
          <w:sz w:val="22"/>
          <w:szCs w:val="22"/>
          <w:lang w:val="en-US"/>
        </w:rPr>
        <w:t xml:space="preserve">and </w:t>
      </w:r>
      <w:r w:rsidRPr="001E6031">
        <w:rPr>
          <w:sz w:val="22"/>
          <w:szCs w:val="22"/>
          <w:lang w:val="en-US"/>
        </w:rPr>
        <w:t>e) Engagement with the Attorney General on the inclusion of LGBT persons on legal reform</w:t>
      </w:r>
      <w:r w:rsidR="003E179C">
        <w:rPr>
          <w:sz w:val="22"/>
          <w:szCs w:val="22"/>
          <w:lang w:val="en-US"/>
        </w:rPr>
        <w:t>.</w:t>
      </w:r>
    </w:p>
    <w:p w14:paraId="7E55B4C6" w14:textId="77777777" w:rsidR="003E340C" w:rsidRDefault="003E340C" w:rsidP="003E340C">
      <w:pPr>
        <w:ind w:firstLine="357"/>
        <w:rPr>
          <w:sz w:val="22"/>
          <w:szCs w:val="22"/>
          <w:lang w:val="en-US"/>
        </w:rPr>
      </w:pPr>
      <w:r>
        <w:rPr>
          <w:sz w:val="22"/>
          <w:szCs w:val="22"/>
          <w:lang w:val="en-US"/>
        </w:rPr>
        <w:t>Areas of legal reform include t</w:t>
      </w:r>
      <w:r w:rsidRPr="001E6031">
        <w:rPr>
          <w:sz w:val="22"/>
          <w:szCs w:val="22"/>
          <w:lang w:val="en-US"/>
        </w:rPr>
        <w:t xml:space="preserve">he development and support of appropriate responses in relation to </w:t>
      </w:r>
      <w:r>
        <w:rPr>
          <w:sz w:val="22"/>
          <w:szCs w:val="22"/>
          <w:lang w:val="en-US"/>
        </w:rPr>
        <w:t xml:space="preserve">decriminalization of </w:t>
      </w:r>
      <w:r w:rsidRPr="001E6031">
        <w:rPr>
          <w:sz w:val="22"/>
          <w:szCs w:val="22"/>
          <w:lang w:val="en-US"/>
        </w:rPr>
        <w:t xml:space="preserve">the Sodomy Offence, Abortion and sterilization act, Domestic violence act, </w:t>
      </w:r>
      <w:r>
        <w:rPr>
          <w:sz w:val="22"/>
          <w:szCs w:val="22"/>
          <w:lang w:val="en-US"/>
        </w:rPr>
        <w:t>M</w:t>
      </w:r>
      <w:r w:rsidRPr="001E6031">
        <w:rPr>
          <w:sz w:val="22"/>
          <w:szCs w:val="22"/>
          <w:lang w:val="en-US"/>
        </w:rPr>
        <w:t xml:space="preserve">arriage bill; </w:t>
      </w:r>
      <w:r>
        <w:rPr>
          <w:sz w:val="22"/>
          <w:szCs w:val="22"/>
          <w:lang w:val="en-US"/>
        </w:rPr>
        <w:t>C</w:t>
      </w:r>
      <w:r w:rsidRPr="001E6031">
        <w:rPr>
          <w:sz w:val="22"/>
          <w:szCs w:val="22"/>
          <w:lang w:val="en-US"/>
        </w:rPr>
        <w:t xml:space="preserve">hild </w:t>
      </w:r>
      <w:r>
        <w:rPr>
          <w:sz w:val="22"/>
          <w:szCs w:val="22"/>
          <w:lang w:val="en-US"/>
        </w:rPr>
        <w:t>P</w:t>
      </w:r>
      <w:r w:rsidRPr="001E6031">
        <w:rPr>
          <w:sz w:val="22"/>
          <w:szCs w:val="22"/>
          <w:lang w:val="en-US"/>
        </w:rPr>
        <w:t xml:space="preserve">rotection bill; draft </w:t>
      </w:r>
      <w:r>
        <w:rPr>
          <w:sz w:val="22"/>
          <w:szCs w:val="22"/>
          <w:lang w:val="en-US"/>
        </w:rPr>
        <w:t>H</w:t>
      </w:r>
      <w:r w:rsidRPr="001E6031">
        <w:rPr>
          <w:sz w:val="22"/>
          <w:szCs w:val="22"/>
          <w:lang w:val="en-US"/>
        </w:rPr>
        <w:t xml:space="preserve">ate speech bill. </w:t>
      </w:r>
    </w:p>
    <w:p w14:paraId="62E47FE1" w14:textId="4A217BA2" w:rsidR="00A563C3" w:rsidRDefault="00A563C3" w:rsidP="003E340C">
      <w:pPr>
        <w:ind w:firstLine="357"/>
        <w:rPr>
          <w:sz w:val="22"/>
          <w:szCs w:val="22"/>
          <w:lang w:val="en-GB"/>
        </w:rPr>
      </w:pPr>
      <w:r w:rsidRPr="003421CE">
        <w:rPr>
          <w:b/>
          <w:bCs/>
          <w:sz w:val="22"/>
          <w:szCs w:val="22"/>
          <w:lang w:val="en-US"/>
        </w:rPr>
        <w:t>Free to be Me</w:t>
      </w:r>
      <w:r w:rsidRPr="003421CE">
        <w:rPr>
          <w:sz w:val="22"/>
          <w:szCs w:val="22"/>
          <w:lang w:val="en-US"/>
        </w:rPr>
        <w:t xml:space="preserve"> (2021 – 2025) </w:t>
      </w:r>
      <w:r w:rsidR="004347C6">
        <w:rPr>
          <w:sz w:val="22"/>
          <w:szCs w:val="22"/>
          <w:lang w:val="en-US"/>
        </w:rPr>
        <w:t xml:space="preserve">is a </w:t>
      </w:r>
      <w:r w:rsidR="00B56BC4">
        <w:rPr>
          <w:sz w:val="22"/>
          <w:szCs w:val="22"/>
          <w:lang w:val="en-US"/>
        </w:rPr>
        <w:t>g</w:t>
      </w:r>
      <w:r w:rsidR="004347C6">
        <w:rPr>
          <w:sz w:val="22"/>
          <w:szCs w:val="22"/>
          <w:lang w:val="en-US"/>
        </w:rPr>
        <w:t>lobal program</w:t>
      </w:r>
      <w:r w:rsidR="00C142F5">
        <w:rPr>
          <w:sz w:val="22"/>
          <w:szCs w:val="22"/>
          <w:lang w:val="en-US"/>
        </w:rPr>
        <w:t xml:space="preserve"> operating i</w:t>
      </w:r>
      <w:r w:rsidR="00B56BC4">
        <w:rPr>
          <w:sz w:val="22"/>
          <w:szCs w:val="22"/>
          <w:lang w:val="en-US"/>
        </w:rPr>
        <w:t>n</w:t>
      </w:r>
      <w:r w:rsidR="00E47E51">
        <w:rPr>
          <w:sz w:val="22"/>
          <w:szCs w:val="22"/>
          <w:lang w:val="en-US"/>
        </w:rPr>
        <w:t xml:space="preserve">14 countries, mostly in Africa and the Middle East but also including </w:t>
      </w:r>
      <w:r w:rsidR="00DA5DE8">
        <w:rPr>
          <w:sz w:val="22"/>
          <w:szCs w:val="22"/>
          <w:lang w:val="en-US"/>
        </w:rPr>
        <w:t>Indonesia and</w:t>
      </w:r>
      <w:r w:rsidR="00B56BC4">
        <w:rPr>
          <w:sz w:val="22"/>
          <w:szCs w:val="22"/>
          <w:lang w:val="en-US"/>
        </w:rPr>
        <w:t xml:space="preserve"> </w:t>
      </w:r>
      <w:r w:rsidR="00C142F5">
        <w:rPr>
          <w:sz w:val="22"/>
          <w:szCs w:val="22"/>
          <w:lang w:val="en-US"/>
        </w:rPr>
        <w:t>funded by the Dutch government through HIVOS</w:t>
      </w:r>
      <w:r w:rsidR="00B56BC4">
        <w:rPr>
          <w:sz w:val="22"/>
          <w:szCs w:val="22"/>
          <w:lang w:val="en-US"/>
        </w:rPr>
        <w:t xml:space="preserve">. </w:t>
      </w:r>
      <w:r w:rsidRPr="003421CE">
        <w:rPr>
          <w:sz w:val="22"/>
          <w:szCs w:val="22"/>
          <w:lang w:val="en-GB"/>
        </w:rPr>
        <w:t>PV is the Host Organisation for Free to Be Me in Namibia, to support the implementation of the programme</w:t>
      </w:r>
      <w:r w:rsidR="005B5C84">
        <w:rPr>
          <w:sz w:val="22"/>
          <w:szCs w:val="22"/>
          <w:lang w:val="en-GB"/>
        </w:rPr>
        <w:t xml:space="preserve"> which</w:t>
      </w:r>
      <w:r w:rsidRPr="003421CE">
        <w:rPr>
          <w:sz w:val="22"/>
          <w:szCs w:val="22"/>
          <w:lang w:val="en-GB"/>
        </w:rPr>
        <w:t xml:space="preserve"> aims to generate public support, influence government, </w:t>
      </w:r>
      <w:proofErr w:type="gramStart"/>
      <w:r w:rsidRPr="003421CE">
        <w:rPr>
          <w:sz w:val="22"/>
          <w:szCs w:val="22"/>
          <w:lang w:val="en-GB"/>
        </w:rPr>
        <w:t>business</w:t>
      </w:r>
      <w:proofErr w:type="gramEnd"/>
      <w:r w:rsidRPr="003421CE">
        <w:rPr>
          <w:sz w:val="22"/>
          <w:szCs w:val="22"/>
          <w:lang w:val="en-GB"/>
        </w:rPr>
        <w:t xml:space="preserve"> and key societal actors to become advocates for LGBTIQ+ lives, rights and inclusion in socio-economic activities. The programme will also contribute</w:t>
      </w:r>
      <w:r w:rsidR="00552A45">
        <w:rPr>
          <w:sz w:val="22"/>
          <w:szCs w:val="22"/>
          <w:lang w:val="en-GB"/>
        </w:rPr>
        <w:t xml:space="preserve"> </w:t>
      </w:r>
      <w:r w:rsidR="005B5C84">
        <w:rPr>
          <w:sz w:val="22"/>
          <w:szCs w:val="22"/>
          <w:lang w:val="en-GB"/>
        </w:rPr>
        <w:t xml:space="preserve">to </w:t>
      </w:r>
      <w:r w:rsidR="005B5C84" w:rsidRPr="003421CE">
        <w:rPr>
          <w:sz w:val="22"/>
          <w:szCs w:val="22"/>
          <w:lang w:val="en-GB"/>
        </w:rPr>
        <w:t>and</w:t>
      </w:r>
      <w:r w:rsidRPr="003421CE">
        <w:rPr>
          <w:sz w:val="22"/>
          <w:szCs w:val="22"/>
          <w:lang w:val="en-GB"/>
        </w:rPr>
        <w:t xml:space="preserve"> enhance the significant progress that has been made by PV in association with key LGBTIQ+ organisations in advocating for a change in criminalising laws, police improvements and the reduction of violence against LGBTIQ+ people. PV will fulfil the host role and process in tandem with the Community of Action (CoA) that will integrate key players drawn from LGBTIQ+ organisations and communities, government figures, societal </w:t>
      </w:r>
      <w:proofErr w:type="gramStart"/>
      <w:r w:rsidRPr="003421CE">
        <w:rPr>
          <w:sz w:val="22"/>
          <w:szCs w:val="22"/>
          <w:lang w:val="en-GB"/>
        </w:rPr>
        <w:t>actors</w:t>
      </w:r>
      <w:proofErr w:type="gramEnd"/>
      <w:r w:rsidRPr="003421CE">
        <w:rPr>
          <w:sz w:val="22"/>
          <w:szCs w:val="22"/>
          <w:lang w:val="en-GB"/>
        </w:rPr>
        <w:t xml:space="preserve"> and allies to formulate strategies, plans and outcomes</w:t>
      </w:r>
      <w:r w:rsidR="00523ADC" w:rsidRPr="003421CE">
        <w:rPr>
          <w:sz w:val="22"/>
          <w:szCs w:val="22"/>
          <w:lang w:val="en-GB"/>
        </w:rPr>
        <w:t>.</w:t>
      </w:r>
    </w:p>
    <w:p w14:paraId="0190D7B6" w14:textId="77777777" w:rsidR="000D0E39" w:rsidRDefault="000D0E39" w:rsidP="003E340C">
      <w:pPr>
        <w:ind w:firstLine="357"/>
        <w:rPr>
          <w:sz w:val="22"/>
          <w:szCs w:val="22"/>
          <w:lang w:val="en-GB"/>
        </w:rPr>
      </w:pPr>
    </w:p>
    <w:p w14:paraId="3983E247" w14:textId="138CA246" w:rsidR="008E498E" w:rsidRPr="00A563C3" w:rsidRDefault="008E498E" w:rsidP="00544EA7">
      <w:pPr>
        <w:rPr>
          <w:sz w:val="22"/>
          <w:szCs w:val="22"/>
          <w:lang w:val="en-US"/>
        </w:rPr>
      </w:pPr>
    </w:p>
    <w:p w14:paraId="5E2992D7" w14:textId="376D4CBC" w:rsidR="00727873" w:rsidRPr="00B72BD5" w:rsidRDefault="00727873" w:rsidP="00407190">
      <w:pPr>
        <w:pStyle w:val="Heading1"/>
        <w:numPr>
          <w:ilvl w:val="0"/>
          <w:numId w:val="7"/>
        </w:numPr>
      </w:pPr>
      <w:bookmarkStart w:id="31" w:name="_Toc113951214"/>
      <w:r w:rsidRPr="00B72BD5">
        <w:t>Target groups, objectives, strategy, and expected results (our intervention)</w:t>
      </w:r>
      <w:bookmarkEnd w:id="31"/>
    </w:p>
    <w:p w14:paraId="57129C15" w14:textId="6B97FD96" w:rsidR="0005686C" w:rsidRPr="00B72BD5" w:rsidRDefault="0005686C" w:rsidP="00334B32">
      <w:pPr>
        <w:pStyle w:val="Heading2"/>
      </w:pPr>
      <w:bookmarkStart w:id="32" w:name="_Toc34813955"/>
      <w:bookmarkStart w:id="33" w:name="_Toc113951215"/>
      <w:r w:rsidRPr="00B72BD5">
        <w:t>The Target Groups</w:t>
      </w:r>
      <w:r w:rsidRPr="00B72BD5">
        <w:rPr>
          <w:rStyle w:val="FootnoteReference"/>
          <w:iCs/>
        </w:rPr>
        <w:footnoteReference w:id="14"/>
      </w:r>
      <w:bookmarkEnd w:id="32"/>
      <w:bookmarkEnd w:id="33"/>
    </w:p>
    <w:p w14:paraId="7FFABA73" w14:textId="1F75955E" w:rsidR="0005686C" w:rsidRPr="002C2AC1" w:rsidRDefault="0005686C" w:rsidP="00334B32">
      <w:pPr>
        <w:rPr>
          <w:sz w:val="22"/>
          <w:szCs w:val="22"/>
          <w:lang w:val="en-ZA"/>
        </w:rPr>
      </w:pPr>
      <w:r w:rsidRPr="002C2AC1">
        <w:rPr>
          <w:sz w:val="22"/>
          <w:szCs w:val="22"/>
          <w:lang w:val="en-ZA"/>
        </w:rPr>
        <w:t xml:space="preserve">The primary target groups – those who will </w:t>
      </w:r>
      <w:r w:rsidR="008A0321" w:rsidRPr="002C2AC1">
        <w:rPr>
          <w:sz w:val="22"/>
          <w:szCs w:val="22"/>
          <w:lang w:val="en-ZA"/>
        </w:rPr>
        <w:t>participate</w:t>
      </w:r>
      <w:r w:rsidRPr="002C2AC1">
        <w:rPr>
          <w:sz w:val="22"/>
          <w:szCs w:val="22"/>
          <w:lang w:val="en-ZA"/>
        </w:rPr>
        <w:t xml:space="preserve"> directly </w:t>
      </w:r>
      <w:r w:rsidR="008A0321" w:rsidRPr="002C2AC1">
        <w:rPr>
          <w:sz w:val="22"/>
          <w:szCs w:val="22"/>
          <w:lang w:val="en-ZA"/>
        </w:rPr>
        <w:t xml:space="preserve">in </w:t>
      </w:r>
      <w:r w:rsidR="003D4987" w:rsidRPr="002C2AC1">
        <w:rPr>
          <w:sz w:val="22"/>
          <w:szCs w:val="22"/>
          <w:lang w:val="en-ZA"/>
        </w:rPr>
        <w:t>the intervention</w:t>
      </w:r>
      <w:r w:rsidRPr="002C2AC1">
        <w:rPr>
          <w:sz w:val="22"/>
          <w:szCs w:val="22"/>
          <w:lang w:val="en-ZA"/>
        </w:rPr>
        <w:t xml:space="preserve"> activities </w:t>
      </w:r>
      <w:r w:rsidR="008A0321" w:rsidRPr="002C2AC1">
        <w:rPr>
          <w:sz w:val="22"/>
          <w:szCs w:val="22"/>
          <w:lang w:val="en-ZA"/>
        </w:rPr>
        <w:t>are as follows</w:t>
      </w:r>
      <w:r w:rsidR="00721D37" w:rsidRPr="002C2AC1">
        <w:rPr>
          <w:sz w:val="22"/>
          <w:szCs w:val="22"/>
          <w:lang w:val="en-ZA"/>
        </w:rPr>
        <w:t>:</w:t>
      </w:r>
    </w:p>
    <w:p w14:paraId="0DD53D2D" w14:textId="6E36CBBB" w:rsidR="00CD3522" w:rsidRDefault="00CD3522" w:rsidP="00334B32">
      <w:pPr>
        <w:rPr>
          <w:sz w:val="22"/>
          <w:szCs w:val="22"/>
          <w:highlight w:val="yellow"/>
          <w:lang w:val="en-ZA"/>
        </w:rPr>
      </w:pPr>
    </w:p>
    <w:p w14:paraId="61B53251" w14:textId="77777777" w:rsidR="007B3F54" w:rsidRPr="00022D02" w:rsidRDefault="007B3F54" w:rsidP="007B3F54">
      <w:pPr>
        <w:rPr>
          <w:b/>
          <w:bCs/>
          <w:i/>
          <w:iCs/>
          <w:sz w:val="22"/>
          <w:szCs w:val="22"/>
          <w:lang w:val="en-ZA"/>
        </w:rPr>
      </w:pPr>
      <w:r w:rsidRPr="00022D02">
        <w:rPr>
          <w:b/>
          <w:bCs/>
          <w:i/>
          <w:iCs/>
          <w:sz w:val="22"/>
          <w:szCs w:val="22"/>
          <w:lang w:val="en-ZA"/>
        </w:rPr>
        <w:t xml:space="preserve">At </w:t>
      </w:r>
      <w:r>
        <w:rPr>
          <w:b/>
          <w:bCs/>
          <w:i/>
          <w:iCs/>
          <w:sz w:val="22"/>
          <w:szCs w:val="22"/>
          <w:lang w:val="en-ZA"/>
        </w:rPr>
        <w:t>organisational</w:t>
      </w:r>
      <w:r w:rsidRPr="00022D02">
        <w:rPr>
          <w:b/>
          <w:bCs/>
          <w:i/>
          <w:iCs/>
          <w:sz w:val="22"/>
          <w:szCs w:val="22"/>
          <w:lang w:val="en-ZA"/>
        </w:rPr>
        <w:t xml:space="preserve"> level </w:t>
      </w:r>
      <w:r>
        <w:rPr>
          <w:b/>
          <w:bCs/>
          <w:i/>
          <w:iCs/>
          <w:sz w:val="22"/>
          <w:szCs w:val="22"/>
          <w:lang w:val="en-ZA"/>
        </w:rPr>
        <w:t>(Outputs 1-4)</w:t>
      </w:r>
    </w:p>
    <w:p w14:paraId="7F583EDE" w14:textId="2E1FA0E7" w:rsidR="007B3F54" w:rsidRDefault="007B3F54" w:rsidP="007B3F54">
      <w:pPr>
        <w:widowControl w:val="0"/>
        <w:numPr>
          <w:ilvl w:val="0"/>
          <w:numId w:val="26"/>
        </w:numPr>
        <w:spacing w:after="200" w:line="276" w:lineRule="auto"/>
        <w:contextualSpacing/>
        <w:rPr>
          <w:rFonts w:ascii="Calibri" w:eastAsia="Calibri" w:hAnsi="Calibri" w:cs="Calibri"/>
          <w:bCs/>
          <w:noProof/>
          <w:sz w:val="22"/>
          <w:szCs w:val="22"/>
          <w:lang w:val="en-ZA"/>
        </w:rPr>
      </w:pPr>
      <w:r>
        <w:rPr>
          <w:rFonts w:ascii="Calibri" w:eastAsia="Calibri" w:hAnsi="Calibri" w:cs="Calibri"/>
          <w:b/>
          <w:noProof/>
          <w:sz w:val="22"/>
          <w:szCs w:val="22"/>
          <w:lang w:val="en-ZA"/>
        </w:rPr>
        <w:t>50</w:t>
      </w:r>
      <w:r w:rsidRPr="00022D02">
        <w:rPr>
          <w:rFonts w:ascii="Calibri" w:eastAsia="Calibri" w:hAnsi="Calibri" w:cs="Calibri"/>
          <w:b/>
          <w:noProof/>
          <w:sz w:val="22"/>
          <w:szCs w:val="22"/>
          <w:lang w:val="en-ZA"/>
        </w:rPr>
        <w:t>-leaders</w:t>
      </w:r>
      <w:r w:rsidRPr="00022D02">
        <w:rPr>
          <w:rFonts w:ascii="Calibri" w:eastAsia="Calibri" w:hAnsi="Calibri" w:cs="Calibri"/>
          <w:bCs/>
          <w:noProof/>
          <w:sz w:val="22"/>
          <w:szCs w:val="22"/>
          <w:lang w:val="en-ZA"/>
        </w:rPr>
        <w:t xml:space="preserve">  from local civil society groups (10 per </w:t>
      </w:r>
      <w:r>
        <w:rPr>
          <w:rFonts w:ascii="Calibri" w:eastAsia="Calibri" w:hAnsi="Calibri" w:cs="Calibri"/>
          <w:bCs/>
          <w:noProof/>
          <w:sz w:val="22"/>
          <w:szCs w:val="22"/>
          <w:lang w:val="en-ZA"/>
        </w:rPr>
        <w:t>5</w:t>
      </w:r>
      <w:r w:rsidRPr="00022D02">
        <w:rPr>
          <w:rFonts w:ascii="Calibri" w:eastAsia="Calibri" w:hAnsi="Calibri" w:cs="Calibri"/>
          <w:bCs/>
          <w:noProof/>
          <w:sz w:val="22"/>
          <w:szCs w:val="22"/>
          <w:lang w:val="en-ZA"/>
        </w:rPr>
        <w:t xml:space="preserve"> CSOs). These CSO</w:t>
      </w:r>
      <w:r>
        <w:rPr>
          <w:rFonts w:ascii="Calibri" w:eastAsia="Calibri" w:hAnsi="Calibri" w:cs="Calibri"/>
          <w:bCs/>
          <w:noProof/>
          <w:sz w:val="22"/>
          <w:szCs w:val="22"/>
          <w:lang w:val="en-ZA"/>
        </w:rPr>
        <w:t xml:space="preserve"> leaders</w:t>
      </w:r>
      <w:r w:rsidR="008438D3">
        <w:rPr>
          <w:rFonts w:ascii="Calibri" w:eastAsia="Calibri" w:hAnsi="Calibri" w:cs="Calibri"/>
          <w:bCs/>
          <w:noProof/>
          <w:sz w:val="22"/>
          <w:szCs w:val="22"/>
          <w:lang w:val="en-ZA"/>
        </w:rPr>
        <w:t xml:space="preserve"> who</w:t>
      </w:r>
      <w:r w:rsidRPr="00022D02">
        <w:rPr>
          <w:rFonts w:ascii="Calibri" w:eastAsia="Calibri" w:hAnsi="Calibri" w:cs="Calibri"/>
          <w:bCs/>
          <w:noProof/>
          <w:sz w:val="22"/>
          <w:szCs w:val="22"/>
          <w:lang w:val="en-ZA"/>
        </w:rPr>
        <w:t xml:space="preserve"> focus on LGBT and AGYW p</w:t>
      </w:r>
      <w:r>
        <w:rPr>
          <w:rFonts w:ascii="Calibri" w:eastAsia="Calibri" w:hAnsi="Calibri" w:cs="Calibri"/>
          <w:bCs/>
          <w:noProof/>
          <w:sz w:val="22"/>
          <w:szCs w:val="22"/>
          <w:lang w:val="en-ZA"/>
        </w:rPr>
        <w:t>r</w:t>
      </w:r>
      <w:r w:rsidRPr="00022D02">
        <w:rPr>
          <w:rFonts w:ascii="Calibri" w:eastAsia="Calibri" w:hAnsi="Calibri" w:cs="Calibri"/>
          <w:bCs/>
          <w:noProof/>
          <w:sz w:val="22"/>
          <w:szCs w:val="22"/>
          <w:lang w:val="en-ZA"/>
        </w:rPr>
        <w:t xml:space="preserve">ogramming, </w:t>
      </w:r>
      <w:r>
        <w:rPr>
          <w:rFonts w:ascii="Calibri" w:eastAsia="Calibri" w:hAnsi="Calibri" w:cs="Calibri"/>
          <w:bCs/>
          <w:noProof/>
          <w:sz w:val="22"/>
          <w:szCs w:val="22"/>
          <w:lang w:val="en-ZA"/>
        </w:rPr>
        <w:t xml:space="preserve">will be targeted with support for capacity building and planning under Output 1-4. </w:t>
      </w:r>
    </w:p>
    <w:p w14:paraId="7770BBA3" w14:textId="77777777" w:rsidR="007B3F54" w:rsidRDefault="007B3F54" w:rsidP="007B3F54">
      <w:pPr>
        <w:widowControl w:val="0"/>
        <w:spacing w:after="200" w:line="276" w:lineRule="auto"/>
        <w:ind w:left="360"/>
        <w:contextualSpacing/>
        <w:rPr>
          <w:rFonts w:ascii="Calibri" w:eastAsia="Calibri" w:hAnsi="Calibri" w:cs="Calibri"/>
          <w:bCs/>
          <w:noProof/>
          <w:sz w:val="22"/>
          <w:szCs w:val="22"/>
          <w:lang w:val="en-ZA"/>
        </w:rPr>
      </w:pPr>
    </w:p>
    <w:p w14:paraId="74689BE0" w14:textId="77777777" w:rsidR="009A44B2" w:rsidRDefault="007B3F54" w:rsidP="009A44B2">
      <w:pPr>
        <w:widowControl w:val="0"/>
        <w:spacing w:after="200" w:line="276" w:lineRule="auto"/>
        <w:contextualSpacing/>
        <w:rPr>
          <w:rFonts w:ascii="Calibri" w:eastAsia="Calibri" w:hAnsi="Calibri" w:cs="Calibri"/>
          <w:b/>
          <w:i/>
          <w:iCs/>
          <w:noProof/>
          <w:sz w:val="22"/>
          <w:szCs w:val="22"/>
          <w:lang w:val="en-ZA"/>
        </w:rPr>
      </w:pPr>
      <w:r w:rsidRPr="00AB5EB3">
        <w:rPr>
          <w:rFonts w:ascii="Calibri" w:eastAsia="Calibri" w:hAnsi="Calibri" w:cs="Calibri"/>
          <w:b/>
          <w:i/>
          <w:iCs/>
          <w:noProof/>
          <w:sz w:val="22"/>
          <w:szCs w:val="22"/>
          <w:lang w:val="en-ZA"/>
        </w:rPr>
        <w:t>At movement building level (Output 5)</w:t>
      </w:r>
    </w:p>
    <w:p w14:paraId="0BF6CC50" w14:textId="53CAD9E6" w:rsidR="007B3F54" w:rsidRPr="009A44B2" w:rsidRDefault="007B3F54" w:rsidP="009A44B2">
      <w:pPr>
        <w:pStyle w:val="ListParagraph"/>
        <w:numPr>
          <w:ilvl w:val="0"/>
          <w:numId w:val="26"/>
        </w:numPr>
        <w:rPr>
          <w:rFonts w:ascii="Calibri" w:eastAsia="Calibri" w:hAnsi="Calibri" w:cs="Calibri"/>
          <w:bCs/>
          <w:noProof/>
          <w:sz w:val="22"/>
          <w:lang w:val="en-ZA"/>
        </w:rPr>
      </w:pPr>
      <w:r w:rsidRPr="009A44B2">
        <w:rPr>
          <w:rFonts w:ascii="Calibri" w:eastAsia="Calibri" w:hAnsi="Calibri" w:cs="Calibri"/>
          <w:b/>
          <w:noProof/>
          <w:sz w:val="22"/>
          <w:lang w:val="en-ZA"/>
        </w:rPr>
        <w:t>1</w:t>
      </w:r>
      <w:r w:rsidR="004178D3">
        <w:rPr>
          <w:rFonts w:ascii="Calibri" w:eastAsia="Calibri" w:hAnsi="Calibri" w:cs="Calibri"/>
          <w:b/>
          <w:noProof/>
          <w:sz w:val="22"/>
          <w:lang w:val="en-ZA"/>
        </w:rPr>
        <w:t>0</w:t>
      </w:r>
      <w:r w:rsidRPr="009A44B2">
        <w:rPr>
          <w:rFonts w:ascii="Calibri" w:eastAsia="Calibri" w:hAnsi="Calibri" w:cs="Calibri"/>
          <w:b/>
          <w:noProof/>
          <w:sz w:val="22"/>
          <w:lang w:val="en-ZA"/>
        </w:rPr>
        <w:t>0 individual AGYWs, LGBT+ AYPs and young sex workers</w:t>
      </w:r>
      <w:r w:rsidR="0014137D">
        <w:rPr>
          <w:rFonts w:ascii="Calibri" w:eastAsia="Calibri" w:hAnsi="Calibri" w:cs="Calibri"/>
          <w:b/>
          <w:noProof/>
          <w:sz w:val="22"/>
          <w:lang w:val="en-ZA"/>
        </w:rPr>
        <w:t xml:space="preserve"> </w:t>
      </w:r>
      <w:bookmarkStart w:id="34" w:name="_Hlk97459881"/>
      <w:r w:rsidR="008B5A08">
        <w:rPr>
          <w:rFonts w:ascii="Calibri" w:eastAsia="Calibri" w:hAnsi="Calibri" w:cs="Calibri"/>
          <w:b/>
          <w:noProof/>
          <w:sz w:val="22"/>
          <w:lang w:val="en-ZA"/>
        </w:rPr>
        <w:t>(18-24 year olds)</w:t>
      </w:r>
      <w:r w:rsidRPr="009A44B2">
        <w:rPr>
          <w:rFonts w:ascii="Calibri" w:eastAsia="Calibri" w:hAnsi="Calibri" w:cs="Calibri"/>
          <w:bCs/>
          <w:noProof/>
          <w:sz w:val="22"/>
          <w:lang w:val="en-ZA"/>
        </w:rPr>
        <w:t xml:space="preserve">  </w:t>
      </w:r>
      <w:bookmarkEnd w:id="34"/>
      <w:r w:rsidRPr="009A44B2">
        <w:rPr>
          <w:rFonts w:ascii="Calibri" w:eastAsia="Calibri" w:hAnsi="Calibri" w:cs="Calibri"/>
          <w:bCs/>
          <w:noProof/>
          <w:sz w:val="22"/>
          <w:lang w:val="en-ZA"/>
        </w:rPr>
        <w:t>from the membership and/or constituencies of the involved CSO</w:t>
      </w:r>
      <w:r w:rsidR="004178D3">
        <w:rPr>
          <w:rFonts w:ascii="Calibri" w:eastAsia="Calibri" w:hAnsi="Calibri" w:cs="Calibri"/>
          <w:bCs/>
          <w:noProof/>
          <w:sz w:val="22"/>
          <w:lang w:val="en-ZA"/>
        </w:rPr>
        <w:t>s</w:t>
      </w:r>
      <w:r w:rsidRPr="009A44B2">
        <w:rPr>
          <w:rFonts w:ascii="Calibri" w:eastAsia="Calibri" w:hAnsi="Calibri" w:cs="Calibri"/>
          <w:bCs/>
          <w:noProof/>
          <w:sz w:val="22"/>
          <w:lang w:val="en-ZA"/>
        </w:rPr>
        <w:t xml:space="preserve"> will be involved in an in-depth LILO process over 3 days and follow up on this.</w:t>
      </w:r>
      <w:r w:rsidRPr="009A44B2">
        <w:rPr>
          <w:rFonts w:ascii="Calibri" w:hAnsi="Calibri" w:cs="Calibri"/>
          <w:bCs/>
          <w:noProof/>
          <w:sz w:val="22"/>
          <w:lang w:val="en-ZA"/>
        </w:rPr>
        <w:t xml:space="preserve"> This number is based on 1 LILO </w:t>
      </w:r>
      <w:r w:rsidR="00E54960">
        <w:rPr>
          <w:rFonts w:ascii="Calibri" w:hAnsi="Calibri" w:cs="Calibri"/>
          <w:bCs/>
          <w:noProof/>
          <w:sz w:val="22"/>
          <w:lang w:val="en-ZA"/>
        </w:rPr>
        <w:t>type workshop</w:t>
      </w:r>
      <w:r w:rsidRPr="009A44B2">
        <w:rPr>
          <w:rFonts w:ascii="Calibri" w:hAnsi="Calibri" w:cs="Calibri"/>
          <w:bCs/>
          <w:noProof/>
          <w:sz w:val="22"/>
          <w:lang w:val="en-ZA"/>
        </w:rPr>
        <w:t xml:space="preserve"> per site with 20 participants). Participents in these workshops experience reduced self stigma and develop agency and voice and are involved in taking  forward advocacy agendas. Tracer studies have shown long term ripple effects of these trainings on the life of the individuals as well as on their family, the movement and the community around them </w:t>
      </w:r>
    </w:p>
    <w:p w14:paraId="1608C892" w14:textId="0C3287F8" w:rsidR="007B3F54" w:rsidRDefault="00EE545B" w:rsidP="007B3F54">
      <w:pPr>
        <w:pStyle w:val="ListParagraph"/>
        <w:numPr>
          <w:ilvl w:val="0"/>
          <w:numId w:val="26"/>
        </w:numPr>
        <w:rPr>
          <w:rFonts w:ascii="Calibri" w:eastAsia="Calibri" w:hAnsi="Calibri" w:cs="Calibri"/>
          <w:bCs/>
          <w:noProof/>
          <w:sz w:val="22"/>
          <w:lang w:val="en-ZA"/>
        </w:rPr>
      </w:pPr>
      <w:r>
        <w:rPr>
          <w:rFonts w:ascii="Calibri" w:eastAsia="Calibri" w:hAnsi="Calibri" w:cs="Calibri"/>
          <w:b/>
          <w:noProof/>
          <w:sz w:val="22"/>
          <w:lang w:val="en-ZA"/>
        </w:rPr>
        <w:t>5</w:t>
      </w:r>
      <w:r w:rsidR="007B3F54">
        <w:rPr>
          <w:rFonts w:ascii="Calibri" w:eastAsia="Calibri" w:hAnsi="Calibri" w:cs="Calibri"/>
          <w:b/>
          <w:noProof/>
          <w:sz w:val="22"/>
          <w:lang w:val="en-ZA"/>
        </w:rPr>
        <w:t>00</w:t>
      </w:r>
      <w:r w:rsidR="007B3F54" w:rsidRPr="006B6590">
        <w:rPr>
          <w:rFonts w:ascii="Calibri" w:eastAsia="Calibri" w:hAnsi="Calibri" w:cs="Calibri"/>
          <w:b/>
          <w:noProof/>
          <w:sz w:val="22"/>
          <w:lang w:val="en-ZA"/>
        </w:rPr>
        <w:t xml:space="preserve"> individual </w:t>
      </w:r>
      <w:bookmarkStart w:id="35" w:name="_Hlk95984503"/>
      <w:r w:rsidR="007B3F54" w:rsidRPr="006B6590">
        <w:rPr>
          <w:rFonts w:ascii="Calibri" w:eastAsia="Calibri" w:hAnsi="Calibri" w:cs="Calibri"/>
          <w:b/>
          <w:noProof/>
          <w:sz w:val="22"/>
          <w:lang w:val="en-ZA"/>
        </w:rPr>
        <w:t>AGYWs, LGBT+ AYPs and young sex workers</w:t>
      </w:r>
      <w:r w:rsidR="0014137D">
        <w:rPr>
          <w:rFonts w:ascii="Calibri" w:eastAsia="Calibri" w:hAnsi="Calibri" w:cs="Calibri"/>
          <w:b/>
          <w:noProof/>
          <w:sz w:val="22"/>
          <w:lang w:val="en-ZA"/>
        </w:rPr>
        <w:t xml:space="preserve"> (18-24 year olds)</w:t>
      </w:r>
      <w:r w:rsidR="007B3F54" w:rsidRPr="006B6590">
        <w:rPr>
          <w:rFonts w:ascii="Calibri" w:eastAsia="Calibri" w:hAnsi="Calibri" w:cs="Calibri"/>
          <w:bCs/>
          <w:noProof/>
          <w:sz w:val="22"/>
          <w:lang w:val="en-ZA"/>
        </w:rPr>
        <w:t xml:space="preserve"> from the membership and/or constituencies of the involved CSO</w:t>
      </w:r>
      <w:r w:rsidR="00AF3EEF">
        <w:rPr>
          <w:rFonts w:ascii="Calibri" w:eastAsia="Calibri" w:hAnsi="Calibri" w:cs="Calibri"/>
          <w:bCs/>
          <w:noProof/>
          <w:sz w:val="22"/>
          <w:lang w:val="en-ZA"/>
        </w:rPr>
        <w:t>s</w:t>
      </w:r>
      <w:r w:rsidR="007B3F54" w:rsidRPr="006B6590">
        <w:rPr>
          <w:rFonts w:ascii="Calibri" w:eastAsia="Calibri" w:hAnsi="Calibri" w:cs="Calibri"/>
          <w:bCs/>
          <w:noProof/>
          <w:sz w:val="22"/>
          <w:lang w:val="en-ZA"/>
        </w:rPr>
        <w:t xml:space="preserve"> </w:t>
      </w:r>
      <w:bookmarkEnd w:id="35"/>
      <w:r w:rsidR="007B3F54" w:rsidRPr="006B6590">
        <w:rPr>
          <w:rFonts w:ascii="Calibri" w:eastAsia="Calibri" w:hAnsi="Calibri" w:cs="Calibri"/>
          <w:bCs/>
          <w:noProof/>
          <w:sz w:val="22"/>
          <w:lang w:val="en-ZA"/>
        </w:rPr>
        <w:t>will be involved in</w:t>
      </w:r>
      <w:r w:rsidR="007B3F54">
        <w:rPr>
          <w:rFonts w:ascii="Calibri" w:eastAsia="Calibri" w:hAnsi="Calibri" w:cs="Calibri"/>
          <w:bCs/>
          <w:noProof/>
          <w:sz w:val="22"/>
          <w:lang w:val="en-ZA"/>
        </w:rPr>
        <w:t xml:space="preserve"> tailored workshops around issues like Sexual orientation, gender identity; human rigths; and constitutional literacy. This number is based on 5 workshops with 20 individuals per </w:t>
      </w:r>
      <w:r w:rsidR="00AF3EEF">
        <w:rPr>
          <w:rFonts w:ascii="Calibri" w:eastAsia="Calibri" w:hAnsi="Calibri" w:cs="Calibri"/>
          <w:bCs/>
          <w:noProof/>
          <w:sz w:val="22"/>
          <w:lang w:val="en-ZA"/>
        </w:rPr>
        <w:t>site</w:t>
      </w:r>
      <w:r w:rsidR="007B3F54">
        <w:rPr>
          <w:rFonts w:ascii="Calibri" w:eastAsia="Calibri" w:hAnsi="Calibri" w:cs="Calibri"/>
          <w:bCs/>
          <w:noProof/>
          <w:sz w:val="22"/>
          <w:lang w:val="en-ZA"/>
        </w:rPr>
        <w:t xml:space="preserve">. </w:t>
      </w:r>
    </w:p>
    <w:p w14:paraId="6A0342A8" w14:textId="447E60BB" w:rsidR="007B3F54" w:rsidRDefault="007B3F54" w:rsidP="007B3F54">
      <w:pPr>
        <w:rPr>
          <w:rFonts w:ascii="Calibri" w:eastAsia="Calibri" w:hAnsi="Calibri" w:cs="Calibri"/>
          <w:bCs/>
          <w:noProof/>
          <w:sz w:val="22"/>
          <w:lang w:val="en-ZA"/>
        </w:rPr>
      </w:pPr>
      <w:r>
        <w:rPr>
          <w:rFonts w:ascii="Calibri" w:eastAsia="Calibri" w:hAnsi="Calibri" w:cs="Calibri"/>
          <w:bCs/>
          <w:noProof/>
          <w:sz w:val="22"/>
          <w:lang w:val="en-ZA"/>
        </w:rPr>
        <w:t xml:space="preserve">Above </w:t>
      </w:r>
      <w:r w:rsidR="00454F42">
        <w:rPr>
          <w:rFonts w:ascii="Calibri" w:eastAsia="Calibri" w:hAnsi="Calibri" w:cs="Calibri"/>
          <w:bCs/>
          <w:noProof/>
          <w:sz w:val="22"/>
          <w:lang w:val="en-ZA"/>
        </w:rPr>
        <w:t xml:space="preserve">2 </w:t>
      </w:r>
      <w:r>
        <w:rPr>
          <w:rFonts w:ascii="Calibri" w:eastAsia="Calibri" w:hAnsi="Calibri" w:cs="Calibri"/>
          <w:bCs/>
          <w:noProof/>
          <w:sz w:val="22"/>
          <w:lang w:val="en-ZA"/>
        </w:rPr>
        <w:t>groups will be partly overlapping as we would expect most of the 1</w:t>
      </w:r>
      <w:r w:rsidR="00AF3EEF">
        <w:rPr>
          <w:rFonts w:ascii="Calibri" w:eastAsia="Calibri" w:hAnsi="Calibri" w:cs="Calibri"/>
          <w:bCs/>
          <w:noProof/>
          <w:sz w:val="22"/>
          <w:lang w:val="en-ZA"/>
        </w:rPr>
        <w:t>0</w:t>
      </w:r>
      <w:r>
        <w:rPr>
          <w:rFonts w:ascii="Calibri" w:eastAsia="Calibri" w:hAnsi="Calibri" w:cs="Calibri"/>
          <w:bCs/>
          <w:noProof/>
          <w:sz w:val="22"/>
          <w:lang w:val="en-ZA"/>
        </w:rPr>
        <w:t>0 individuals to also participate in some of the workshops</w:t>
      </w:r>
      <w:r w:rsidR="00AF3EEF">
        <w:rPr>
          <w:rFonts w:ascii="Calibri" w:eastAsia="Calibri" w:hAnsi="Calibri" w:cs="Calibri"/>
          <w:bCs/>
          <w:noProof/>
          <w:sz w:val="22"/>
          <w:lang w:val="en-ZA"/>
        </w:rPr>
        <w:t xml:space="preserve"> in key roles.</w:t>
      </w:r>
    </w:p>
    <w:p w14:paraId="1A211B06" w14:textId="77777777" w:rsidR="007B3F54" w:rsidRDefault="007B3F54" w:rsidP="007B3F54">
      <w:pPr>
        <w:rPr>
          <w:rFonts w:ascii="Calibri" w:eastAsia="Calibri" w:hAnsi="Calibri" w:cs="Calibri"/>
          <w:bCs/>
          <w:noProof/>
          <w:sz w:val="22"/>
          <w:lang w:val="en-ZA"/>
        </w:rPr>
      </w:pPr>
    </w:p>
    <w:p w14:paraId="41251E37" w14:textId="54B643FE" w:rsidR="003875E4" w:rsidRPr="003875E4" w:rsidRDefault="007B3F54" w:rsidP="003875E4">
      <w:pPr>
        <w:pStyle w:val="ListParagraph"/>
        <w:numPr>
          <w:ilvl w:val="0"/>
          <w:numId w:val="38"/>
        </w:numPr>
        <w:rPr>
          <w:rFonts w:ascii="Calibri" w:eastAsia="Calibri" w:hAnsi="Calibri" w:cs="Calibri"/>
          <w:bCs/>
          <w:noProof/>
          <w:sz w:val="22"/>
          <w:lang w:val="en-ZA"/>
        </w:rPr>
      </w:pPr>
      <w:bookmarkStart w:id="36" w:name="_Hlk95984673"/>
      <w:r w:rsidRPr="00AD756E">
        <w:rPr>
          <w:rFonts w:ascii="Calibri" w:eastAsia="Calibri" w:hAnsi="Calibri" w:cs="Calibri"/>
          <w:b/>
          <w:noProof/>
          <w:sz w:val="22"/>
          <w:highlight w:val="yellow"/>
          <w:lang w:val="en-ZA"/>
        </w:rPr>
        <w:t>A larger group of</w:t>
      </w:r>
      <w:r w:rsidRPr="00AD756E">
        <w:rPr>
          <w:rFonts w:ascii="Calibri" w:eastAsia="Calibri" w:hAnsi="Calibri" w:cs="Calibri"/>
          <w:bCs/>
          <w:noProof/>
          <w:sz w:val="22"/>
          <w:highlight w:val="yellow"/>
          <w:lang w:val="en-ZA"/>
        </w:rPr>
        <w:t xml:space="preserve"> </w:t>
      </w:r>
      <w:r w:rsidRPr="00AD756E">
        <w:rPr>
          <w:rFonts w:ascii="Calibri" w:eastAsia="Calibri" w:hAnsi="Calibri" w:cs="Calibri"/>
          <w:b/>
          <w:noProof/>
          <w:sz w:val="22"/>
          <w:highlight w:val="yellow"/>
          <w:lang w:val="en-ZA"/>
        </w:rPr>
        <w:t>AGYWs, LGBT+ AYPs and sex workers above the age of 18</w:t>
      </w:r>
      <w:r w:rsidRPr="00AD756E">
        <w:rPr>
          <w:rFonts w:ascii="Calibri" w:eastAsia="Calibri" w:hAnsi="Calibri" w:cs="Calibri"/>
          <w:bCs/>
          <w:noProof/>
          <w:sz w:val="22"/>
          <w:highlight w:val="yellow"/>
          <w:lang w:val="en-ZA"/>
        </w:rPr>
        <w:t xml:space="preserve">  from the membership and/or constituencies of the involved CSO will be reached via the media work and social media work under </w:t>
      </w:r>
      <w:r w:rsidR="00AF21C4">
        <w:rPr>
          <w:rFonts w:ascii="Calibri" w:eastAsia="Calibri" w:hAnsi="Calibri" w:cs="Calibri"/>
          <w:bCs/>
          <w:noProof/>
          <w:sz w:val="22"/>
          <w:highlight w:val="yellow"/>
          <w:lang w:val="en-ZA"/>
        </w:rPr>
        <w:t>Output 6</w:t>
      </w:r>
      <w:r w:rsidR="003875E4">
        <w:rPr>
          <w:rFonts w:ascii="Calibri" w:eastAsia="Calibri" w:hAnsi="Calibri" w:cs="Calibri"/>
          <w:bCs/>
          <w:noProof/>
          <w:sz w:val="22"/>
          <w:highlight w:val="yellow"/>
          <w:lang w:val="en-ZA"/>
        </w:rPr>
        <w:t>.</w:t>
      </w:r>
      <w:r w:rsidR="003875E4" w:rsidRPr="00707530">
        <w:rPr>
          <w:rFonts w:ascii="Calibri" w:eastAsia="Calibri" w:hAnsi="Calibri" w:cs="Calibri"/>
          <w:bCs/>
          <w:noProof/>
          <w:sz w:val="22"/>
          <w:highlight w:val="yellow"/>
          <w:lang w:val="en-ZA"/>
        </w:rPr>
        <w:t xml:space="preserve"> </w:t>
      </w:r>
      <w:r w:rsidR="00707530">
        <w:rPr>
          <w:rFonts w:ascii="Calibri" w:eastAsia="Calibri" w:hAnsi="Calibri" w:cs="Calibri"/>
          <w:bCs/>
          <w:noProof/>
          <w:sz w:val="22"/>
          <w:highlight w:val="yellow"/>
          <w:lang w:val="en-ZA"/>
        </w:rPr>
        <w:t>The project</w:t>
      </w:r>
      <w:r w:rsidR="00707530" w:rsidRPr="00707530">
        <w:rPr>
          <w:rFonts w:ascii="Calibri" w:eastAsia="Calibri" w:hAnsi="Calibri" w:cs="Calibri"/>
          <w:bCs/>
          <w:noProof/>
          <w:sz w:val="22"/>
          <w:highlight w:val="yellow"/>
          <w:lang w:val="en-ZA"/>
        </w:rPr>
        <w:t xml:space="preserve"> will strenghten the capacity of partners to engage in </w:t>
      </w:r>
      <w:r w:rsidR="003875E4" w:rsidRPr="00707530">
        <w:rPr>
          <w:rFonts w:ascii="Calibri" w:eastAsia="Calibri" w:hAnsi="Calibri" w:cs="Calibri"/>
          <w:bCs/>
          <w:noProof/>
          <w:sz w:val="22"/>
          <w:highlight w:val="yellow"/>
          <w:lang w:val="en-ZA"/>
        </w:rPr>
        <w:t>local media work</w:t>
      </w:r>
      <w:r w:rsidR="00AF21C4">
        <w:rPr>
          <w:rFonts w:ascii="Calibri" w:eastAsia="Calibri" w:hAnsi="Calibri" w:cs="Calibri"/>
          <w:bCs/>
          <w:noProof/>
          <w:sz w:val="22"/>
          <w:highlight w:val="yellow"/>
          <w:lang w:val="en-ZA"/>
        </w:rPr>
        <w:t xml:space="preserve"> and it is expected that most of them will enhance their media activities</w:t>
      </w:r>
      <w:r w:rsidR="003875E4" w:rsidRPr="00707530">
        <w:rPr>
          <w:rFonts w:ascii="Calibri" w:eastAsia="Calibri" w:hAnsi="Calibri" w:cs="Calibri"/>
          <w:bCs/>
          <w:noProof/>
          <w:sz w:val="22"/>
          <w:highlight w:val="yellow"/>
          <w:lang w:val="en-ZA"/>
        </w:rPr>
        <w:t>, with local radio stations,</w:t>
      </w:r>
      <w:r w:rsidR="00707530" w:rsidRPr="00707530">
        <w:rPr>
          <w:rFonts w:ascii="Calibri" w:eastAsia="Calibri" w:hAnsi="Calibri" w:cs="Calibri"/>
          <w:bCs/>
          <w:noProof/>
          <w:sz w:val="22"/>
          <w:highlight w:val="yellow"/>
          <w:lang w:val="en-ZA"/>
        </w:rPr>
        <w:t xml:space="preserve"> e.g.</w:t>
      </w:r>
      <w:r w:rsidR="003875E4" w:rsidRPr="00707530">
        <w:rPr>
          <w:rFonts w:ascii="Calibri" w:eastAsia="Calibri" w:hAnsi="Calibri" w:cs="Calibri"/>
          <w:bCs/>
          <w:noProof/>
          <w:sz w:val="22"/>
          <w:highlight w:val="yellow"/>
          <w:lang w:val="en-ZA"/>
        </w:rPr>
        <w:t xml:space="preserve"> series of conversations around young </w:t>
      </w:r>
      <w:r w:rsidR="007252EB">
        <w:rPr>
          <w:rFonts w:ascii="Calibri" w:eastAsia="Calibri" w:hAnsi="Calibri" w:cs="Calibri"/>
          <w:bCs/>
          <w:noProof/>
          <w:sz w:val="22"/>
          <w:highlight w:val="yellow"/>
          <w:lang w:val="en-ZA"/>
        </w:rPr>
        <w:t>(Child)</w:t>
      </w:r>
      <w:r w:rsidR="003875E4" w:rsidRPr="00707530">
        <w:rPr>
          <w:rFonts w:ascii="Calibri" w:eastAsia="Calibri" w:hAnsi="Calibri" w:cs="Calibri"/>
          <w:bCs/>
          <w:noProof/>
          <w:sz w:val="22"/>
          <w:highlight w:val="yellow"/>
          <w:lang w:val="en-ZA"/>
        </w:rPr>
        <w:t xml:space="preserve">marriages, how to acces the local offices of  Ombudsman, how to access the </w:t>
      </w:r>
      <w:r w:rsidR="00707530">
        <w:rPr>
          <w:rFonts w:ascii="Calibri" w:eastAsia="Calibri" w:hAnsi="Calibri" w:cs="Calibri"/>
          <w:bCs/>
          <w:noProof/>
          <w:sz w:val="22"/>
          <w:highlight w:val="yellow"/>
          <w:lang w:val="en-ZA"/>
        </w:rPr>
        <w:t>g</w:t>
      </w:r>
      <w:r w:rsidR="003875E4" w:rsidRPr="00707530">
        <w:rPr>
          <w:rFonts w:ascii="Calibri" w:eastAsia="Calibri" w:hAnsi="Calibri" w:cs="Calibri"/>
          <w:bCs/>
          <w:noProof/>
          <w:sz w:val="22"/>
          <w:highlight w:val="yellow"/>
          <w:lang w:val="en-ZA"/>
        </w:rPr>
        <w:t>bv units etc</w:t>
      </w:r>
      <w:r w:rsidR="00707530" w:rsidRPr="00707530">
        <w:rPr>
          <w:rFonts w:ascii="Calibri" w:eastAsia="Calibri" w:hAnsi="Calibri" w:cs="Calibri"/>
          <w:bCs/>
          <w:noProof/>
          <w:sz w:val="22"/>
          <w:highlight w:val="yellow"/>
          <w:lang w:val="en-ZA"/>
        </w:rPr>
        <w:t>. The local language radio stations are still a key source of information in Namibia and more so in the rural areas. Work with the radio stations will be complemented with social media work, in particular local facebook and Whats App groups.</w:t>
      </w:r>
      <w:r w:rsidR="00707530">
        <w:rPr>
          <w:rFonts w:ascii="Calibri" w:eastAsia="Calibri" w:hAnsi="Calibri" w:cs="Calibri"/>
          <w:bCs/>
          <w:noProof/>
          <w:sz w:val="22"/>
          <w:lang w:val="en-ZA"/>
        </w:rPr>
        <w:t xml:space="preserve"> </w:t>
      </w:r>
    </w:p>
    <w:bookmarkEnd w:id="36"/>
    <w:p w14:paraId="0EC23ACF" w14:textId="77777777" w:rsidR="007B3F54" w:rsidRPr="00A95141" w:rsidRDefault="007B3F54" w:rsidP="007B3F54">
      <w:pPr>
        <w:rPr>
          <w:rFonts w:ascii="Calibri" w:eastAsia="Calibri" w:hAnsi="Calibri" w:cs="Calibri"/>
          <w:bCs/>
          <w:noProof/>
          <w:sz w:val="22"/>
          <w:lang w:val="en-ZA"/>
        </w:rPr>
      </w:pPr>
    </w:p>
    <w:p w14:paraId="4C56CEB9" w14:textId="77777777" w:rsidR="007B3F54" w:rsidRPr="00AB5EB3" w:rsidRDefault="007B3F54" w:rsidP="007B3F54">
      <w:pPr>
        <w:widowControl w:val="0"/>
        <w:spacing w:after="200" w:line="276" w:lineRule="auto"/>
        <w:contextualSpacing/>
        <w:rPr>
          <w:rFonts w:ascii="Calibri" w:eastAsia="Calibri" w:hAnsi="Calibri" w:cs="Calibri"/>
          <w:b/>
          <w:i/>
          <w:iCs/>
          <w:noProof/>
          <w:sz w:val="22"/>
          <w:szCs w:val="22"/>
          <w:lang w:val="en-ZA"/>
        </w:rPr>
      </w:pPr>
      <w:r w:rsidRPr="00AB5EB3">
        <w:rPr>
          <w:rFonts w:ascii="Calibri" w:eastAsia="Calibri" w:hAnsi="Calibri" w:cs="Calibri"/>
          <w:b/>
          <w:i/>
          <w:iCs/>
          <w:noProof/>
          <w:sz w:val="22"/>
          <w:szCs w:val="22"/>
          <w:lang w:val="en-ZA"/>
        </w:rPr>
        <w:t>At community level (Output 6)</w:t>
      </w:r>
    </w:p>
    <w:p w14:paraId="3945708A" w14:textId="2A71C1C9" w:rsidR="007B3F54" w:rsidRDefault="007B3F54" w:rsidP="007B3F54">
      <w:pPr>
        <w:pStyle w:val="ListParagraph"/>
        <w:numPr>
          <w:ilvl w:val="0"/>
          <w:numId w:val="37"/>
        </w:numPr>
        <w:rPr>
          <w:rFonts w:ascii="Calibri" w:eastAsia="Calibri" w:hAnsi="Calibri" w:cs="Calibri"/>
          <w:bCs/>
          <w:noProof/>
          <w:sz w:val="22"/>
          <w:lang w:val="en-ZA"/>
        </w:rPr>
      </w:pPr>
      <w:r w:rsidRPr="00CE10CA">
        <w:rPr>
          <w:rFonts w:ascii="Calibri" w:eastAsia="Calibri" w:hAnsi="Calibri" w:cs="Calibri"/>
          <w:b/>
          <w:noProof/>
          <w:sz w:val="22"/>
          <w:lang w:val="en-ZA"/>
        </w:rPr>
        <w:t xml:space="preserve">At least  </w:t>
      </w:r>
      <w:r>
        <w:rPr>
          <w:rFonts w:ascii="Calibri" w:eastAsia="Calibri" w:hAnsi="Calibri" w:cs="Calibri"/>
          <w:b/>
          <w:noProof/>
          <w:sz w:val="22"/>
          <w:lang w:val="en-ZA"/>
        </w:rPr>
        <w:t>250</w:t>
      </w:r>
      <w:r w:rsidRPr="00CE10CA">
        <w:rPr>
          <w:rFonts w:ascii="Calibri" w:eastAsia="Calibri" w:hAnsi="Calibri" w:cs="Calibri"/>
          <w:b/>
          <w:noProof/>
          <w:sz w:val="22"/>
          <w:lang w:val="en-ZA"/>
        </w:rPr>
        <w:t xml:space="preserve"> community leaders and duty bearers from all relevant local authorities</w:t>
      </w:r>
      <w:r>
        <w:rPr>
          <w:rFonts w:ascii="Calibri" w:eastAsia="Calibri" w:hAnsi="Calibri" w:cs="Calibri"/>
          <w:bCs/>
          <w:noProof/>
          <w:sz w:val="22"/>
          <w:lang w:val="en-ZA"/>
        </w:rPr>
        <w:t xml:space="preserve"> will be reached by the broad range of advocacy activities outlined under 6.1-6.7. This number is based on an average of 50 for each of the 5 involved communities, but migth be higher.</w:t>
      </w:r>
    </w:p>
    <w:p w14:paraId="37FB3619" w14:textId="2DA73336" w:rsidR="007B3F54" w:rsidRPr="007343CD" w:rsidRDefault="007B3F54" w:rsidP="007B3F54">
      <w:pPr>
        <w:pStyle w:val="ListParagraph"/>
        <w:numPr>
          <w:ilvl w:val="0"/>
          <w:numId w:val="38"/>
        </w:numPr>
        <w:rPr>
          <w:rFonts w:ascii="Calibri" w:eastAsia="Calibri" w:hAnsi="Calibri" w:cs="Calibri"/>
          <w:bCs/>
          <w:noProof/>
          <w:sz w:val="22"/>
          <w:lang w:val="en-ZA"/>
        </w:rPr>
      </w:pPr>
      <w:r w:rsidRPr="00CF5F78">
        <w:rPr>
          <w:rFonts w:ascii="Calibri" w:eastAsia="Calibri" w:hAnsi="Calibri" w:cs="Calibri"/>
          <w:b/>
          <w:noProof/>
          <w:sz w:val="22"/>
          <w:lang w:val="en-ZA"/>
        </w:rPr>
        <w:t xml:space="preserve">A larger </w:t>
      </w:r>
      <w:r>
        <w:rPr>
          <w:rFonts w:ascii="Calibri" w:eastAsia="Calibri" w:hAnsi="Calibri" w:cs="Calibri"/>
          <w:b/>
          <w:noProof/>
          <w:sz w:val="22"/>
          <w:lang w:val="en-ZA"/>
        </w:rPr>
        <w:t>number of community leaders and community members</w:t>
      </w:r>
      <w:r>
        <w:rPr>
          <w:rFonts w:ascii="Calibri" w:eastAsia="Calibri" w:hAnsi="Calibri" w:cs="Calibri"/>
          <w:bCs/>
          <w:noProof/>
          <w:sz w:val="22"/>
          <w:lang w:val="en-ZA"/>
        </w:rPr>
        <w:t xml:space="preserve"> </w:t>
      </w:r>
      <w:r w:rsidRPr="00873D05">
        <w:rPr>
          <w:rFonts w:ascii="Calibri" w:eastAsia="Calibri" w:hAnsi="Calibri" w:cs="Calibri"/>
          <w:bCs/>
          <w:noProof/>
          <w:sz w:val="22"/>
          <w:highlight w:val="yellow"/>
          <w:lang w:val="en-ZA"/>
        </w:rPr>
        <w:t xml:space="preserve">will be reached via the media </w:t>
      </w:r>
      <w:r w:rsidRPr="00873D05">
        <w:rPr>
          <w:rFonts w:ascii="Calibri" w:eastAsia="Calibri" w:hAnsi="Calibri" w:cs="Calibri"/>
          <w:bCs/>
          <w:noProof/>
          <w:sz w:val="22"/>
          <w:highlight w:val="yellow"/>
          <w:lang w:val="en-ZA"/>
        </w:rPr>
        <w:lastRenderedPageBreak/>
        <w:t xml:space="preserve">work </w:t>
      </w:r>
      <w:r w:rsidR="00873D05" w:rsidRPr="00873D05">
        <w:rPr>
          <w:rFonts w:ascii="Calibri" w:eastAsia="Calibri" w:hAnsi="Calibri" w:cs="Calibri"/>
          <w:bCs/>
          <w:noProof/>
          <w:sz w:val="22"/>
          <w:highlight w:val="yellow"/>
          <w:lang w:val="en-ZA"/>
        </w:rPr>
        <w:t>outlined above</w:t>
      </w:r>
      <w:r>
        <w:rPr>
          <w:rFonts w:ascii="Calibri" w:eastAsia="Calibri" w:hAnsi="Calibri" w:cs="Calibri"/>
          <w:bCs/>
          <w:noProof/>
          <w:sz w:val="22"/>
          <w:lang w:val="en-ZA"/>
        </w:rPr>
        <w:t xml:space="preserve"> </w:t>
      </w:r>
    </w:p>
    <w:p w14:paraId="3B57405D" w14:textId="77777777" w:rsidR="007B3F54" w:rsidRPr="00022D02" w:rsidRDefault="007B3F54" w:rsidP="007B3F54">
      <w:pPr>
        <w:rPr>
          <w:sz w:val="22"/>
          <w:szCs w:val="22"/>
          <w:lang w:val="en-ZA"/>
        </w:rPr>
      </w:pPr>
      <w:r w:rsidRPr="00022D02">
        <w:rPr>
          <w:sz w:val="22"/>
          <w:szCs w:val="22"/>
          <w:lang w:val="en-ZA"/>
        </w:rPr>
        <w:t>Not all youth in the targeted area will be directly involved in activities under the project, but all will benefit from a more inclusive and enabling local environment.</w:t>
      </w:r>
    </w:p>
    <w:p w14:paraId="1D4CFD1D" w14:textId="77777777" w:rsidR="007B3F54" w:rsidRPr="00022D02" w:rsidRDefault="007B3F54" w:rsidP="007B3F54">
      <w:pPr>
        <w:ind w:firstLine="357"/>
        <w:rPr>
          <w:iCs/>
          <w:color w:val="BA1E27" w:themeColor="accent2"/>
          <w:sz w:val="22"/>
          <w:szCs w:val="22"/>
          <w:lang w:val="en-ZA"/>
        </w:rPr>
      </w:pPr>
    </w:p>
    <w:p w14:paraId="2D970665" w14:textId="12E3A4EA" w:rsidR="007B3F54" w:rsidRPr="00022D02" w:rsidRDefault="007B3F54" w:rsidP="007B3F54">
      <w:pPr>
        <w:rPr>
          <w:sz w:val="22"/>
          <w:szCs w:val="22"/>
          <w:lang w:val="en-ZA"/>
        </w:rPr>
      </w:pPr>
      <w:r w:rsidRPr="00022D02">
        <w:rPr>
          <w:iCs/>
          <w:sz w:val="22"/>
          <w:szCs w:val="22"/>
          <w:lang w:val="en-ZA"/>
        </w:rPr>
        <w:t xml:space="preserve">The </w:t>
      </w:r>
      <w:r w:rsidRPr="00022D02">
        <w:rPr>
          <w:b/>
          <w:bCs/>
          <w:iCs/>
          <w:sz w:val="22"/>
          <w:szCs w:val="22"/>
          <w:lang w:val="en-ZA"/>
        </w:rPr>
        <w:t>main Secondary Target group</w:t>
      </w:r>
      <w:r w:rsidRPr="00022D02">
        <w:rPr>
          <w:iCs/>
          <w:sz w:val="22"/>
          <w:szCs w:val="22"/>
          <w:lang w:val="en-ZA"/>
        </w:rPr>
        <w:t xml:space="preserve"> is all adolescents and young people between 15-24-years in Namibia. The approximate total number is</w:t>
      </w:r>
      <w:r w:rsidRPr="003D071C">
        <w:rPr>
          <w:iCs/>
          <w:sz w:val="22"/>
          <w:szCs w:val="22"/>
          <w:lang w:val="en-ZA"/>
        </w:rPr>
        <w:t xml:space="preserve">: 505.661. Male: 251,838. </w:t>
      </w:r>
      <w:r w:rsidRPr="003D071C">
        <w:rPr>
          <w:b/>
          <w:bCs/>
          <w:iCs/>
          <w:sz w:val="22"/>
          <w:szCs w:val="22"/>
          <w:lang w:val="en-ZA"/>
        </w:rPr>
        <w:t xml:space="preserve">Female: 253,823. LGBT+: approximately </w:t>
      </w:r>
      <w:r w:rsidR="003D071C" w:rsidRPr="003D071C">
        <w:rPr>
          <w:b/>
          <w:bCs/>
          <w:iCs/>
          <w:sz w:val="22"/>
          <w:szCs w:val="22"/>
          <w:lang w:val="en-ZA"/>
        </w:rPr>
        <w:t>20.000</w:t>
      </w:r>
      <w:r w:rsidRPr="003D071C">
        <w:rPr>
          <w:b/>
          <w:bCs/>
          <w:iCs/>
          <w:sz w:val="22"/>
          <w:szCs w:val="22"/>
          <w:lang w:val="en-ZA"/>
        </w:rPr>
        <w:t xml:space="preserve">(approx. </w:t>
      </w:r>
      <w:r w:rsidR="003D071C" w:rsidRPr="003D071C">
        <w:rPr>
          <w:b/>
          <w:bCs/>
          <w:iCs/>
          <w:sz w:val="22"/>
          <w:szCs w:val="22"/>
          <w:lang w:val="en-ZA"/>
        </w:rPr>
        <w:t>4</w:t>
      </w:r>
      <w:r w:rsidRPr="003D071C">
        <w:rPr>
          <w:b/>
          <w:bCs/>
          <w:iCs/>
          <w:sz w:val="22"/>
          <w:szCs w:val="22"/>
          <w:lang w:val="en-ZA"/>
        </w:rPr>
        <w:t>% of total population)</w:t>
      </w:r>
      <w:r w:rsidRPr="003D071C">
        <w:rPr>
          <w:rStyle w:val="FootnoteReference"/>
          <w:b/>
          <w:bCs/>
          <w:iCs/>
          <w:sz w:val="22"/>
          <w:szCs w:val="22"/>
          <w:lang w:val="en-ZA"/>
        </w:rPr>
        <w:footnoteReference w:id="15"/>
      </w:r>
      <w:r w:rsidRPr="003D071C">
        <w:rPr>
          <w:b/>
          <w:bCs/>
          <w:iCs/>
          <w:sz w:val="22"/>
          <w:szCs w:val="22"/>
          <w:lang w:val="en-ZA"/>
        </w:rPr>
        <w:t>.</w:t>
      </w:r>
      <w:r w:rsidRPr="00022D02">
        <w:rPr>
          <w:iCs/>
          <w:sz w:val="22"/>
          <w:szCs w:val="22"/>
          <w:lang w:val="en-ZA"/>
        </w:rPr>
        <w:t xml:space="preserve"> </w:t>
      </w:r>
      <w:r w:rsidRPr="00022D02">
        <w:rPr>
          <w:sz w:val="22"/>
          <w:szCs w:val="22"/>
          <w:lang w:val="en-ZA"/>
        </w:rPr>
        <w:t xml:space="preserve">AGYW and LGBT+ youth nationwide will benefit from changes in government policy and practice as well as from societal shifts effected through the advocacy work. </w:t>
      </w:r>
    </w:p>
    <w:p w14:paraId="25043D86" w14:textId="7C44B8BB" w:rsidR="00022D02" w:rsidRPr="00022D02" w:rsidRDefault="00022D02" w:rsidP="00022D02">
      <w:pPr>
        <w:ind w:firstLine="357"/>
        <w:rPr>
          <w:sz w:val="22"/>
          <w:szCs w:val="22"/>
          <w:lang w:val="en-ZA"/>
        </w:rPr>
      </w:pPr>
      <w:r w:rsidRPr="00022D02">
        <w:rPr>
          <w:sz w:val="22"/>
          <w:szCs w:val="22"/>
          <w:lang w:val="en-ZA"/>
        </w:rPr>
        <w:t>The societal shifts in the communities which AGYWs and LGBT+ Youth live in are difficult to predict exactly and to quantify. Such shifts</w:t>
      </w:r>
      <w:r w:rsidR="00C36DCE">
        <w:rPr>
          <w:sz w:val="22"/>
          <w:szCs w:val="22"/>
          <w:lang w:val="en-ZA"/>
        </w:rPr>
        <w:t xml:space="preserve"> will occur</w:t>
      </w:r>
      <w:r w:rsidRPr="00022D02">
        <w:rPr>
          <w:sz w:val="22"/>
          <w:szCs w:val="22"/>
          <w:lang w:val="en-ZA"/>
        </w:rPr>
        <w:t xml:space="preserve"> in the general community as well as among individual duty bearers which represent another secondary target group, in the participatory regions</w:t>
      </w:r>
      <w:r w:rsidR="0025690C">
        <w:rPr>
          <w:sz w:val="22"/>
          <w:szCs w:val="22"/>
          <w:lang w:val="en-ZA"/>
        </w:rPr>
        <w:t>.</w:t>
      </w:r>
    </w:p>
    <w:p w14:paraId="664FFDA7" w14:textId="0BFE78B6" w:rsidR="00EA4DAA" w:rsidRPr="00B72BD5" w:rsidRDefault="00EA0503" w:rsidP="005B3AFD">
      <w:pPr>
        <w:ind w:firstLine="357"/>
        <w:rPr>
          <w:rFonts w:cstheme="minorHAnsi"/>
          <w:b/>
          <w:bCs/>
          <w:sz w:val="22"/>
          <w:szCs w:val="22"/>
          <w:lang w:val="en-GB"/>
        </w:rPr>
      </w:pPr>
      <w:r w:rsidRPr="00FD2208">
        <w:rPr>
          <w:sz w:val="22"/>
          <w:szCs w:val="22"/>
          <w:lang w:val="en-ZA"/>
        </w:rPr>
        <w:t xml:space="preserve"> The two target groups of AGYWs and LGBT+ are partly overlapping;</w:t>
      </w:r>
      <w:r w:rsidRPr="00FD2208">
        <w:rPr>
          <w:rFonts w:cstheme="minorHAnsi"/>
          <w:sz w:val="22"/>
          <w:szCs w:val="22"/>
          <w:lang w:val="en-GB"/>
        </w:rPr>
        <w:t xml:space="preserve"> young sex workers come from both groups and young lesbian women belong in both groups</w:t>
      </w:r>
      <w:r w:rsidRPr="00FD2208">
        <w:rPr>
          <w:sz w:val="22"/>
          <w:szCs w:val="22"/>
          <w:lang w:val="en-ZA"/>
        </w:rPr>
        <w:t xml:space="preserve">.  They share experiences of exclusion, violence and inequality that are rooted in the shared social, economic, and historical context of post-colonial African patriarchy. Also, heteronormativity and a common fear and rejection of dangerous or unspeakable difference (otherness) finds expression in common prejudices at community-level, as well as in the policy, </w:t>
      </w:r>
      <w:proofErr w:type="gramStart"/>
      <w:r w:rsidRPr="00FD2208">
        <w:rPr>
          <w:sz w:val="22"/>
          <w:szCs w:val="22"/>
          <w:lang w:val="en-ZA"/>
        </w:rPr>
        <w:t>laws</w:t>
      </w:r>
      <w:proofErr w:type="gramEnd"/>
      <w:r w:rsidRPr="00FD2208">
        <w:rPr>
          <w:sz w:val="22"/>
          <w:szCs w:val="22"/>
          <w:lang w:val="en-ZA"/>
        </w:rPr>
        <w:t xml:space="preserve"> and practices of the state.</w:t>
      </w:r>
      <w:r w:rsidR="009D74AD" w:rsidRPr="00FD2208">
        <w:rPr>
          <w:sz w:val="22"/>
          <w:szCs w:val="22"/>
          <w:lang w:val="en-ZA"/>
        </w:rPr>
        <w:t xml:space="preserve"> </w:t>
      </w:r>
      <w:r w:rsidR="005A6301" w:rsidRPr="00FD2208">
        <w:rPr>
          <w:sz w:val="22"/>
          <w:szCs w:val="22"/>
          <w:lang w:val="en-ZA"/>
        </w:rPr>
        <w:t>However,</w:t>
      </w:r>
      <w:r w:rsidR="004D6331" w:rsidRPr="00FD2208">
        <w:rPr>
          <w:sz w:val="22"/>
          <w:szCs w:val="22"/>
          <w:lang w:val="en-ZA"/>
        </w:rPr>
        <w:t xml:space="preserve"> there are also significant differences in their</w:t>
      </w:r>
      <w:r w:rsidR="004A5FE6" w:rsidRPr="00FD2208">
        <w:rPr>
          <w:sz w:val="22"/>
          <w:szCs w:val="22"/>
          <w:lang w:val="en-ZA"/>
        </w:rPr>
        <w:t xml:space="preserve"> </w:t>
      </w:r>
      <w:r w:rsidR="00D93D84" w:rsidRPr="00FD2208">
        <w:rPr>
          <w:sz w:val="22"/>
          <w:szCs w:val="22"/>
          <w:lang w:val="en-ZA"/>
        </w:rPr>
        <w:t>problems and potential solutions to these problems</w:t>
      </w:r>
      <w:r w:rsidR="001B0980">
        <w:rPr>
          <w:sz w:val="22"/>
          <w:szCs w:val="22"/>
          <w:lang w:val="en-ZA"/>
        </w:rPr>
        <w:t>.</w:t>
      </w:r>
    </w:p>
    <w:p w14:paraId="23AD7BDE" w14:textId="05D1D6D4" w:rsidR="00EA4DAA" w:rsidRPr="00B72BD5" w:rsidRDefault="00EA4DAA" w:rsidP="00213F5B">
      <w:pPr>
        <w:ind w:firstLine="357"/>
        <w:rPr>
          <w:sz w:val="22"/>
          <w:szCs w:val="22"/>
          <w:lang w:val="en-ZA"/>
        </w:rPr>
      </w:pPr>
    </w:p>
    <w:p w14:paraId="5D7D3805" w14:textId="5CAB3EBC" w:rsidR="0005686C" w:rsidRDefault="0005686C" w:rsidP="00635E4F">
      <w:pPr>
        <w:pStyle w:val="Heading3"/>
        <w:rPr>
          <w:lang w:val="en-ZA"/>
        </w:rPr>
      </w:pPr>
      <w:bookmarkStart w:id="37" w:name="_Toc34813956"/>
      <w:bookmarkStart w:id="38" w:name="_Toc113951216"/>
      <w:r w:rsidRPr="003200F9">
        <w:rPr>
          <w:lang w:val="en-ZA"/>
        </w:rPr>
        <w:t>Targeted communit</w:t>
      </w:r>
      <w:r w:rsidR="00B66940">
        <w:rPr>
          <w:lang w:val="en-ZA"/>
        </w:rPr>
        <w:t>ies</w:t>
      </w:r>
      <w:r w:rsidRPr="003200F9">
        <w:rPr>
          <w:lang w:val="en-ZA"/>
        </w:rPr>
        <w:t xml:space="preserve"> and rationale for </w:t>
      </w:r>
      <w:r w:rsidR="00B66940">
        <w:rPr>
          <w:lang w:val="en-ZA"/>
        </w:rPr>
        <w:t>their</w:t>
      </w:r>
      <w:r w:rsidRPr="003200F9">
        <w:rPr>
          <w:lang w:val="en-ZA"/>
        </w:rPr>
        <w:t xml:space="preserve"> inclusion</w:t>
      </w:r>
      <w:bookmarkEnd w:id="37"/>
      <w:bookmarkEnd w:id="38"/>
    </w:p>
    <w:p w14:paraId="0A6220FA" w14:textId="42E9FFDB" w:rsidR="00946CDA" w:rsidRPr="00946CDA" w:rsidRDefault="00946CDA" w:rsidP="00946CDA">
      <w:pPr>
        <w:rPr>
          <w:sz w:val="22"/>
          <w:szCs w:val="22"/>
          <w:lang w:val="en-ZA"/>
        </w:rPr>
      </w:pPr>
      <w:bookmarkStart w:id="39" w:name="_Toc34813957"/>
      <w:r w:rsidRPr="00946CDA">
        <w:rPr>
          <w:sz w:val="22"/>
          <w:szCs w:val="22"/>
          <w:lang w:val="en-ZA"/>
        </w:rPr>
        <w:t xml:space="preserve">Communities are the ultimate site of change in this intervention and the point where the time, energy and resources will be expended. The reason for this is simple: </w:t>
      </w:r>
      <w:r w:rsidR="00E872D0" w:rsidRPr="00946CDA">
        <w:rPr>
          <w:sz w:val="22"/>
          <w:szCs w:val="22"/>
          <w:lang w:val="en-ZA"/>
        </w:rPr>
        <w:t>for</w:t>
      </w:r>
      <w:r w:rsidRPr="00946CDA">
        <w:rPr>
          <w:sz w:val="22"/>
          <w:szCs w:val="22"/>
          <w:lang w:val="en-ZA"/>
        </w:rPr>
        <w:t xml:space="preserve"> the experience of marginalised and vulnerable young people to change, some shifts must occur in the </w:t>
      </w:r>
      <w:r w:rsidR="00006DC4" w:rsidRPr="00946CDA">
        <w:rPr>
          <w:sz w:val="22"/>
          <w:szCs w:val="22"/>
          <w:lang w:val="en-ZA"/>
        </w:rPr>
        <w:t>communitie</w:t>
      </w:r>
      <w:r w:rsidR="00006DC4">
        <w:rPr>
          <w:sz w:val="22"/>
          <w:szCs w:val="22"/>
          <w:lang w:val="en-ZA"/>
        </w:rPr>
        <w:t xml:space="preserve">s </w:t>
      </w:r>
      <w:r w:rsidR="00006DC4" w:rsidRPr="00946CDA">
        <w:rPr>
          <w:sz w:val="22"/>
          <w:szCs w:val="22"/>
          <w:lang w:val="en-ZA"/>
        </w:rPr>
        <w:t>they</w:t>
      </w:r>
      <w:r w:rsidRPr="00946CDA">
        <w:rPr>
          <w:sz w:val="22"/>
          <w:szCs w:val="22"/>
          <w:lang w:val="en-ZA"/>
        </w:rPr>
        <w:t xml:space="preserve"> live</w:t>
      </w:r>
      <w:r w:rsidR="009231A9">
        <w:rPr>
          <w:sz w:val="22"/>
          <w:szCs w:val="22"/>
          <w:lang w:val="en-ZA"/>
        </w:rPr>
        <w:t xml:space="preserve"> in</w:t>
      </w:r>
      <w:r w:rsidRPr="00946CDA">
        <w:rPr>
          <w:sz w:val="22"/>
          <w:szCs w:val="22"/>
          <w:lang w:val="en-ZA"/>
        </w:rPr>
        <w:t xml:space="preserve"> (behaviour, relationships, social norms, etc.). </w:t>
      </w:r>
    </w:p>
    <w:p w14:paraId="63440A42" w14:textId="77777777" w:rsidR="00E57A5F" w:rsidRPr="00E57A5F" w:rsidRDefault="00E57A5F" w:rsidP="00395245">
      <w:pPr>
        <w:ind w:firstLine="357"/>
        <w:jc w:val="both"/>
        <w:rPr>
          <w:rFonts w:cs="Arial"/>
          <w:iCs/>
          <w:sz w:val="22"/>
          <w:szCs w:val="22"/>
          <w:lang w:val="en-US"/>
        </w:rPr>
      </w:pPr>
      <w:r w:rsidRPr="00E57A5F">
        <w:rPr>
          <w:rFonts w:cs="Arial"/>
          <w:iCs/>
          <w:sz w:val="22"/>
          <w:szCs w:val="22"/>
          <w:lang w:val="en-US"/>
        </w:rPr>
        <w:t xml:space="preserve">The following regions and sites will be participating in the project: </w:t>
      </w:r>
    </w:p>
    <w:p w14:paraId="444A6E0D" w14:textId="0B6CF039" w:rsidR="00E57A5F" w:rsidRPr="00E57A5F" w:rsidRDefault="00E57A5F" w:rsidP="00E57A5F">
      <w:pPr>
        <w:jc w:val="both"/>
        <w:rPr>
          <w:rFonts w:cs="Arial"/>
          <w:iCs/>
          <w:sz w:val="22"/>
          <w:szCs w:val="22"/>
          <w:lang w:val="en-ZA"/>
        </w:rPr>
      </w:pPr>
      <w:proofErr w:type="spellStart"/>
      <w:r w:rsidRPr="00E57A5F">
        <w:rPr>
          <w:rFonts w:cs="Arial"/>
          <w:b/>
          <w:bCs/>
          <w:iCs/>
          <w:sz w:val="22"/>
          <w:szCs w:val="22"/>
          <w:lang w:val="en-US"/>
        </w:rPr>
        <w:t>Erongo</w:t>
      </w:r>
      <w:proofErr w:type="spellEnd"/>
      <w:r w:rsidRPr="00E57A5F">
        <w:rPr>
          <w:rFonts w:cs="Arial"/>
          <w:b/>
          <w:bCs/>
          <w:iCs/>
          <w:sz w:val="22"/>
          <w:szCs w:val="22"/>
          <w:lang w:val="en-US"/>
        </w:rPr>
        <w:t xml:space="preserve"> region</w:t>
      </w:r>
      <w:r w:rsidRPr="00E57A5F">
        <w:rPr>
          <w:rFonts w:cs="Arial"/>
          <w:iCs/>
          <w:sz w:val="22"/>
          <w:szCs w:val="22"/>
          <w:lang w:val="en-US"/>
        </w:rPr>
        <w:t xml:space="preserve"> includes the two major coastal towns of Walvis Bay </w:t>
      </w:r>
      <w:r w:rsidRPr="00E57A5F">
        <w:rPr>
          <w:rFonts w:cs="Arial"/>
          <w:iCs/>
          <w:sz w:val="22"/>
          <w:szCs w:val="22"/>
          <w:lang w:val="en-ZA"/>
        </w:rPr>
        <w:t xml:space="preserve">(with Namibia’s only </w:t>
      </w:r>
      <w:r w:rsidR="0024277C" w:rsidRPr="00E57A5F">
        <w:rPr>
          <w:rFonts w:cs="Arial"/>
          <w:iCs/>
          <w:sz w:val="22"/>
          <w:szCs w:val="22"/>
          <w:lang w:val="en-ZA"/>
        </w:rPr>
        <w:t>deep-water</w:t>
      </w:r>
      <w:r w:rsidRPr="00E57A5F">
        <w:rPr>
          <w:rFonts w:cs="Arial"/>
          <w:iCs/>
          <w:sz w:val="22"/>
          <w:szCs w:val="22"/>
          <w:lang w:val="en-ZA"/>
        </w:rPr>
        <w:t xml:space="preserve"> port), Swakopmund and </w:t>
      </w:r>
      <w:proofErr w:type="spellStart"/>
      <w:r w:rsidRPr="00E57A5F">
        <w:rPr>
          <w:rFonts w:cs="Arial"/>
          <w:iCs/>
          <w:sz w:val="22"/>
          <w:szCs w:val="22"/>
          <w:lang w:val="en-ZA"/>
        </w:rPr>
        <w:t>Henties</w:t>
      </w:r>
      <w:proofErr w:type="spellEnd"/>
      <w:r w:rsidRPr="00E57A5F">
        <w:rPr>
          <w:rFonts w:cs="Arial"/>
          <w:iCs/>
          <w:sz w:val="22"/>
          <w:szCs w:val="22"/>
          <w:lang w:val="en-ZA"/>
        </w:rPr>
        <w:t xml:space="preserve"> Bay. It is the centre of the fishing industry, and an important tourism and mining region. The area is extremely dry with only some limited horticulture in the </w:t>
      </w:r>
      <w:proofErr w:type="spellStart"/>
      <w:r w:rsidRPr="00E57A5F">
        <w:rPr>
          <w:rFonts w:cs="Arial"/>
          <w:iCs/>
          <w:sz w:val="22"/>
          <w:szCs w:val="22"/>
          <w:lang w:val="en-ZA"/>
        </w:rPr>
        <w:t>Swakop</w:t>
      </w:r>
      <w:proofErr w:type="spellEnd"/>
      <w:r w:rsidRPr="00E57A5F">
        <w:rPr>
          <w:rFonts w:cs="Arial"/>
          <w:iCs/>
          <w:sz w:val="22"/>
          <w:szCs w:val="22"/>
          <w:lang w:val="en-ZA"/>
        </w:rPr>
        <w:t xml:space="preserve"> River area. The population is very mixed including all Namibia’s population groups.</w:t>
      </w:r>
      <w:r w:rsidRPr="00E57A5F">
        <w:rPr>
          <w:rFonts w:cs="Arial"/>
          <w:iCs/>
          <w:sz w:val="22"/>
          <w:szCs w:val="22"/>
          <w:lang w:val="en-US"/>
        </w:rPr>
        <w:t xml:space="preserve"> There is a thriving LGBT, SW and AGYW movement of marginalized youth particularly in the coastal towns.</w:t>
      </w:r>
    </w:p>
    <w:p w14:paraId="766CCE06" w14:textId="77777777" w:rsidR="00E57A5F" w:rsidRPr="00E57A5F" w:rsidRDefault="00E57A5F" w:rsidP="00E57A5F">
      <w:pPr>
        <w:jc w:val="both"/>
        <w:rPr>
          <w:rFonts w:cs="Arial"/>
          <w:iCs/>
          <w:sz w:val="22"/>
          <w:szCs w:val="22"/>
          <w:lang w:val="en-ZA"/>
        </w:rPr>
      </w:pPr>
      <w:r w:rsidRPr="00E57A5F">
        <w:rPr>
          <w:rFonts w:cs="Arial"/>
          <w:iCs/>
          <w:sz w:val="22"/>
          <w:szCs w:val="22"/>
          <w:lang w:val="en-ZA"/>
        </w:rPr>
        <w:t xml:space="preserve">The HIV percentage is 10.6%.  According to the Gender Based Violence Protection Unit, 195 cases of rape and 950 cases of domestic violence were reported in the </w:t>
      </w:r>
      <w:proofErr w:type="spellStart"/>
      <w:r w:rsidRPr="00E57A5F">
        <w:rPr>
          <w:rFonts w:cs="Arial"/>
          <w:iCs/>
          <w:sz w:val="22"/>
          <w:szCs w:val="22"/>
          <w:lang w:val="en-ZA"/>
        </w:rPr>
        <w:t>Erongo</w:t>
      </w:r>
      <w:proofErr w:type="spellEnd"/>
      <w:r w:rsidRPr="00E57A5F">
        <w:rPr>
          <w:rFonts w:cs="Arial"/>
          <w:iCs/>
          <w:sz w:val="22"/>
          <w:szCs w:val="22"/>
          <w:lang w:val="en-ZA"/>
        </w:rPr>
        <w:t xml:space="preserve"> region from 2015 to 2017. In the 24 primary and secondary schools in the region, 137 learners fell pregnant in 2017. The project will work in two communities in this region in Walvis Bay (MPower Community Trust) and </w:t>
      </w:r>
      <w:proofErr w:type="spellStart"/>
      <w:r w:rsidRPr="00E57A5F">
        <w:rPr>
          <w:rFonts w:cs="Arial"/>
          <w:iCs/>
          <w:sz w:val="22"/>
          <w:szCs w:val="22"/>
          <w:lang w:val="en-ZA"/>
        </w:rPr>
        <w:t>Henties</w:t>
      </w:r>
      <w:proofErr w:type="spellEnd"/>
      <w:r w:rsidRPr="00E57A5F">
        <w:rPr>
          <w:rFonts w:cs="Arial"/>
          <w:iCs/>
          <w:sz w:val="22"/>
          <w:szCs w:val="22"/>
          <w:lang w:val="en-ZA"/>
        </w:rPr>
        <w:t xml:space="preserve"> Bay (Voices of Hope Trust).</w:t>
      </w:r>
    </w:p>
    <w:p w14:paraId="4728AC33" w14:textId="7991AD33" w:rsidR="00E57A5F" w:rsidRPr="00E57A5F" w:rsidRDefault="00E57A5F" w:rsidP="00E57A5F">
      <w:pPr>
        <w:jc w:val="both"/>
        <w:rPr>
          <w:rFonts w:cs="Arial"/>
          <w:i/>
          <w:iCs/>
          <w:sz w:val="22"/>
          <w:szCs w:val="22"/>
          <w:lang w:val="en-US"/>
        </w:rPr>
      </w:pPr>
      <w:r w:rsidRPr="00E57A5F">
        <w:rPr>
          <w:rFonts w:cs="Arial"/>
          <w:i/>
          <w:iCs/>
          <w:sz w:val="22"/>
          <w:szCs w:val="22"/>
          <w:lang w:val="en-US"/>
        </w:rPr>
        <w:t>Population in total</w:t>
      </w:r>
      <w:r w:rsidRPr="00E57A5F">
        <w:rPr>
          <w:rFonts w:cs="Arial"/>
          <w:iCs/>
          <w:sz w:val="22"/>
          <w:szCs w:val="22"/>
          <w:lang w:val="en-US"/>
        </w:rPr>
        <w:t xml:space="preserve"> </w:t>
      </w:r>
      <w:r w:rsidRPr="00E57A5F">
        <w:rPr>
          <w:rFonts w:cs="Arial"/>
          <w:i/>
          <w:iCs/>
          <w:sz w:val="22"/>
          <w:szCs w:val="22"/>
          <w:lang w:val="en-US"/>
        </w:rPr>
        <w:t>150,809</w:t>
      </w:r>
    </w:p>
    <w:p w14:paraId="339C574F" w14:textId="64AE8705" w:rsidR="00E57A5F" w:rsidRPr="00E57A5F" w:rsidRDefault="00E57A5F" w:rsidP="00E57A5F">
      <w:pPr>
        <w:jc w:val="both"/>
        <w:rPr>
          <w:rFonts w:cs="Arial"/>
          <w:i/>
          <w:iCs/>
          <w:sz w:val="22"/>
          <w:szCs w:val="22"/>
          <w:lang w:val="en-US"/>
        </w:rPr>
      </w:pPr>
      <w:r w:rsidRPr="00E57A5F">
        <w:rPr>
          <w:rFonts w:cs="Arial"/>
          <w:i/>
          <w:iCs/>
          <w:sz w:val="22"/>
          <w:szCs w:val="22"/>
          <w:lang w:val="en-US"/>
        </w:rPr>
        <w:t xml:space="preserve">Walvis Bay </w:t>
      </w:r>
    </w:p>
    <w:p w14:paraId="0FCE37C3" w14:textId="77777777" w:rsidR="00E57A5F" w:rsidRPr="00E57A5F" w:rsidRDefault="00E57A5F" w:rsidP="00E57A5F">
      <w:pPr>
        <w:jc w:val="both"/>
        <w:rPr>
          <w:rFonts w:cs="Arial"/>
          <w:i/>
          <w:iCs/>
          <w:sz w:val="22"/>
          <w:szCs w:val="22"/>
          <w:lang w:val="en-US"/>
        </w:rPr>
      </w:pPr>
      <w:r w:rsidRPr="00E57A5F">
        <w:rPr>
          <w:rFonts w:cs="Arial"/>
          <w:i/>
          <w:iCs/>
          <w:sz w:val="22"/>
          <w:szCs w:val="22"/>
          <w:lang w:val="en-US"/>
        </w:rPr>
        <w:t>Population:                        62 400</w:t>
      </w:r>
    </w:p>
    <w:p w14:paraId="753DE0F2" w14:textId="77777777" w:rsidR="00E57A5F" w:rsidRPr="00E57A5F" w:rsidRDefault="00E57A5F" w:rsidP="00E57A5F">
      <w:pPr>
        <w:jc w:val="both"/>
        <w:rPr>
          <w:rFonts w:cs="Arial"/>
          <w:i/>
          <w:iCs/>
          <w:sz w:val="22"/>
          <w:szCs w:val="22"/>
          <w:lang w:val="en-US"/>
        </w:rPr>
      </w:pPr>
      <w:r w:rsidRPr="00E57A5F">
        <w:rPr>
          <w:rFonts w:cs="Arial"/>
          <w:i/>
          <w:iCs/>
          <w:sz w:val="22"/>
          <w:szCs w:val="22"/>
          <w:lang w:val="en-US"/>
        </w:rPr>
        <w:t>Male Population:              29 000</w:t>
      </w:r>
    </w:p>
    <w:p w14:paraId="61EB8B17" w14:textId="77777777" w:rsidR="00E57A5F" w:rsidRPr="00E57A5F" w:rsidRDefault="00E57A5F" w:rsidP="00E57A5F">
      <w:pPr>
        <w:jc w:val="both"/>
        <w:rPr>
          <w:rFonts w:cs="Arial"/>
          <w:i/>
          <w:iCs/>
          <w:sz w:val="22"/>
          <w:szCs w:val="22"/>
          <w:lang w:val="en-US"/>
        </w:rPr>
      </w:pPr>
      <w:r w:rsidRPr="00E57A5F">
        <w:rPr>
          <w:rFonts w:cs="Arial"/>
          <w:i/>
          <w:iCs/>
          <w:sz w:val="22"/>
          <w:szCs w:val="22"/>
          <w:lang w:val="en-US"/>
        </w:rPr>
        <w:t>Female Population:          33 400</w:t>
      </w:r>
    </w:p>
    <w:p w14:paraId="588946D1" w14:textId="77777777" w:rsidR="00E57A5F" w:rsidRPr="00E57A5F" w:rsidRDefault="00E57A5F" w:rsidP="00E57A5F">
      <w:pPr>
        <w:jc w:val="both"/>
        <w:rPr>
          <w:rFonts w:cs="Arial"/>
          <w:i/>
          <w:iCs/>
          <w:sz w:val="22"/>
          <w:szCs w:val="22"/>
          <w:lang w:val="en-US"/>
        </w:rPr>
      </w:pPr>
      <w:proofErr w:type="spellStart"/>
      <w:r w:rsidRPr="00E57A5F">
        <w:rPr>
          <w:rFonts w:cs="Arial"/>
          <w:i/>
          <w:iCs/>
          <w:sz w:val="22"/>
          <w:szCs w:val="22"/>
          <w:lang w:val="en-US"/>
        </w:rPr>
        <w:t>Henties</w:t>
      </w:r>
      <w:proofErr w:type="spellEnd"/>
      <w:r w:rsidRPr="00E57A5F">
        <w:rPr>
          <w:rFonts w:cs="Arial"/>
          <w:i/>
          <w:iCs/>
          <w:sz w:val="22"/>
          <w:szCs w:val="22"/>
          <w:lang w:val="en-US"/>
        </w:rPr>
        <w:t xml:space="preserve"> Bay</w:t>
      </w:r>
    </w:p>
    <w:p w14:paraId="256EA65B" w14:textId="0BA5B6CD" w:rsidR="00E57A5F" w:rsidRPr="00E57A5F" w:rsidRDefault="00E57A5F" w:rsidP="00E57A5F">
      <w:pPr>
        <w:jc w:val="both"/>
        <w:rPr>
          <w:rFonts w:cs="Arial"/>
          <w:iCs/>
          <w:sz w:val="22"/>
          <w:szCs w:val="22"/>
          <w:lang w:val="en-US"/>
        </w:rPr>
      </w:pPr>
      <w:r w:rsidRPr="00E57A5F">
        <w:rPr>
          <w:rFonts w:cs="Arial"/>
          <w:iCs/>
          <w:sz w:val="22"/>
          <w:szCs w:val="22"/>
          <w:lang w:val="en-US"/>
        </w:rPr>
        <w:t xml:space="preserve">Population: </w:t>
      </w:r>
      <w:r w:rsidR="001A56A3">
        <w:rPr>
          <w:rFonts w:cs="Arial"/>
          <w:iCs/>
          <w:sz w:val="22"/>
          <w:szCs w:val="22"/>
          <w:lang w:val="en-US"/>
        </w:rPr>
        <w:tab/>
      </w:r>
      <w:r w:rsidR="001A56A3">
        <w:rPr>
          <w:rFonts w:cs="Arial"/>
          <w:iCs/>
          <w:sz w:val="22"/>
          <w:szCs w:val="22"/>
          <w:lang w:val="en-US"/>
        </w:rPr>
        <w:tab/>
      </w:r>
      <w:r w:rsidRPr="00E57A5F">
        <w:rPr>
          <w:rFonts w:cs="Arial"/>
          <w:iCs/>
          <w:sz w:val="22"/>
          <w:szCs w:val="22"/>
          <w:lang w:val="en-US"/>
        </w:rPr>
        <w:t xml:space="preserve">5,472 </w:t>
      </w:r>
    </w:p>
    <w:p w14:paraId="20F0B027" w14:textId="6F629855" w:rsidR="00E57A5F" w:rsidRPr="00E57A5F" w:rsidRDefault="00E57A5F" w:rsidP="00E57A5F">
      <w:pPr>
        <w:jc w:val="both"/>
        <w:rPr>
          <w:rFonts w:cs="Arial"/>
          <w:iCs/>
          <w:sz w:val="22"/>
          <w:szCs w:val="22"/>
          <w:lang w:val="en-US"/>
        </w:rPr>
      </w:pPr>
      <w:r w:rsidRPr="00E57A5F">
        <w:rPr>
          <w:rFonts w:cs="Arial"/>
          <w:iCs/>
          <w:sz w:val="22"/>
          <w:szCs w:val="22"/>
          <w:lang w:val="en-US"/>
        </w:rPr>
        <w:t xml:space="preserve">Male Population: </w:t>
      </w:r>
      <w:r w:rsidR="001A56A3">
        <w:rPr>
          <w:rFonts w:cs="Arial"/>
          <w:iCs/>
          <w:sz w:val="22"/>
          <w:szCs w:val="22"/>
          <w:lang w:val="en-US"/>
        </w:rPr>
        <w:tab/>
      </w:r>
      <w:r w:rsidRPr="00E57A5F">
        <w:rPr>
          <w:rFonts w:cs="Arial"/>
          <w:iCs/>
          <w:sz w:val="22"/>
          <w:szCs w:val="22"/>
          <w:lang w:val="en-US"/>
        </w:rPr>
        <w:t>2,841</w:t>
      </w:r>
    </w:p>
    <w:p w14:paraId="4CA27965" w14:textId="347AE81F" w:rsidR="00E57A5F" w:rsidRPr="00E57A5F" w:rsidRDefault="00E57A5F" w:rsidP="00E57A5F">
      <w:pPr>
        <w:jc w:val="both"/>
        <w:rPr>
          <w:rFonts w:cs="Arial"/>
          <w:iCs/>
          <w:sz w:val="22"/>
          <w:szCs w:val="22"/>
          <w:lang w:val="en-US"/>
        </w:rPr>
      </w:pPr>
      <w:r w:rsidRPr="00E57A5F">
        <w:rPr>
          <w:rFonts w:cs="Arial"/>
          <w:iCs/>
          <w:sz w:val="22"/>
          <w:szCs w:val="22"/>
          <w:lang w:val="en-US"/>
        </w:rPr>
        <w:t xml:space="preserve">Female Population: </w:t>
      </w:r>
      <w:r w:rsidR="001A56A3">
        <w:rPr>
          <w:rFonts w:cs="Arial"/>
          <w:iCs/>
          <w:sz w:val="22"/>
          <w:szCs w:val="22"/>
          <w:lang w:val="en-US"/>
        </w:rPr>
        <w:tab/>
      </w:r>
      <w:r w:rsidRPr="00E57A5F">
        <w:rPr>
          <w:rFonts w:cs="Arial"/>
          <w:iCs/>
          <w:sz w:val="22"/>
          <w:szCs w:val="22"/>
          <w:lang w:val="en-US"/>
        </w:rPr>
        <w:t>2,631</w:t>
      </w:r>
    </w:p>
    <w:p w14:paraId="1017FE7F" w14:textId="77777777" w:rsidR="00E57A5F" w:rsidRPr="00E57A5F" w:rsidRDefault="00E57A5F" w:rsidP="00E57A5F">
      <w:pPr>
        <w:jc w:val="both"/>
        <w:rPr>
          <w:rFonts w:cs="Arial"/>
          <w:iCs/>
          <w:sz w:val="22"/>
          <w:szCs w:val="22"/>
          <w:lang w:val="en-ZA"/>
        </w:rPr>
      </w:pPr>
    </w:p>
    <w:p w14:paraId="080027BE" w14:textId="3E865306" w:rsidR="00E57A5F" w:rsidRPr="00E57A5F" w:rsidRDefault="00E57A5F" w:rsidP="00E57A5F">
      <w:pPr>
        <w:jc w:val="both"/>
        <w:rPr>
          <w:rFonts w:cs="Arial"/>
          <w:iCs/>
          <w:sz w:val="22"/>
          <w:szCs w:val="22"/>
          <w:lang w:val="en-US"/>
        </w:rPr>
      </w:pPr>
      <w:proofErr w:type="spellStart"/>
      <w:r w:rsidRPr="00E57A5F">
        <w:rPr>
          <w:rFonts w:cs="Arial"/>
          <w:b/>
          <w:bCs/>
          <w:iCs/>
          <w:sz w:val="22"/>
          <w:szCs w:val="22"/>
          <w:lang w:val="en-US"/>
        </w:rPr>
        <w:t>Otjozondjupa</w:t>
      </w:r>
      <w:proofErr w:type="spellEnd"/>
      <w:r w:rsidRPr="00E57A5F">
        <w:rPr>
          <w:rFonts w:cs="Arial"/>
          <w:b/>
          <w:bCs/>
          <w:iCs/>
          <w:sz w:val="22"/>
          <w:szCs w:val="22"/>
          <w:lang w:val="en-US"/>
        </w:rPr>
        <w:t xml:space="preserve"> region</w:t>
      </w:r>
      <w:r w:rsidRPr="00E57A5F">
        <w:rPr>
          <w:rFonts w:cs="Arial"/>
          <w:iCs/>
          <w:sz w:val="22"/>
          <w:szCs w:val="22"/>
          <w:lang w:val="en-US"/>
        </w:rPr>
        <w:t xml:space="preserve"> includes </w:t>
      </w:r>
      <w:proofErr w:type="gramStart"/>
      <w:r w:rsidRPr="00E57A5F">
        <w:rPr>
          <w:rFonts w:cs="Arial"/>
          <w:iCs/>
          <w:sz w:val="22"/>
          <w:szCs w:val="22"/>
          <w:lang w:val="en-US"/>
        </w:rPr>
        <w:t>a number of</w:t>
      </w:r>
      <w:proofErr w:type="gramEnd"/>
      <w:r w:rsidRPr="00E57A5F">
        <w:rPr>
          <w:rFonts w:cs="Arial"/>
          <w:iCs/>
          <w:sz w:val="22"/>
          <w:szCs w:val="22"/>
          <w:lang w:val="en-US"/>
        </w:rPr>
        <w:t xml:space="preserve"> smaller towns serving as service centers for the mainly cattle producing region.  The project will work in the scarcely populated </w:t>
      </w:r>
      <w:proofErr w:type="spellStart"/>
      <w:r w:rsidRPr="00E57A5F">
        <w:rPr>
          <w:rFonts w:cs="Arial"/>
          <w:iCs/>
          <w:sz w:val="22"/>
          <w:szCs w:val="22"/>
          <w:lang w:val="en-US"/>
        </w:rPr>
        <w:t>Tsumkwe</w:t>
      </w:r>
      <w:proofErr w:type="spellEnd"/>
      <w:r w:rsidRPr="00E57A5F">
        <w:rPr>
          <w:rFonts w:cs="Arial"/>
          <w:iCs/>
          <w:sz w:val="22"/>
          <w:szCs w:val="22"/>
          <w:lang w:val="en-US"/>
        </w:rPr>
        <w:t xml:space="preserve"> constituency in the far East which </w:t>
      </w:r>
      <w:r w:rsidRPr="00E57A5F">
        <w:rPr>
          <w:rFonts w:cs="Arial"/>
          <w:iCs/>
          <w:sz w:val="22"/>
          <w:szCs w:val="22"/>
          <w:lang w:val="en-US"/>
        </w:rPr>
        <w:lastRenderedPageBreak/>
        <w:t xml:space="preserve">is the home of a large share of Namibia’s SAN population. Despite being the only constituency where San have access to land ownership, the majority of San still live in extreme poverty, face a lack of education, social </w:t>
      </w:r>
      <w:proofErr w:type="spellStart"/>
      <w:r w:rsidRPr="00E57A5F">
        <w:rPr>
          <w:rFonts w:cs="Arial"/>
          <w:iCs/>
          <w:sz w:val="22"/>
          <w:szCs w:val="22"/>
          <w:lang w:val="en-US"/>
        </w:rPr>
        <w:t>stigmatisation</w:t>
      </w:r>
      <w:proofErr w:type="spellEnd"/>
      <w:r w:rsidRPr="00E57A5F">
        <w:rPr>
          <w:rFonts w:cs="Arial"/>
          <w:iCs/>
          <w:sz w:val="22"/>
          <w:szCs w:val="22"/>
          <w:lang w:val="en-US"/>
        </w:rPr>
        <w:t xml:space="preserve">, extreme </w:t>
      </w:r>
      <w:proofErr w:type="gramStart"/>
      <w:r w:rsidRPr="00E57A5F">
        <w:rPr>
          <w:rFonts w:cs="Arial"/>
          <w:iCs/>
          <w:sz w:val="22"/>
          <w:szCs w:val="22"/>
          <w:lang w:val="en-US"/>
        </w:rPr>
        <w:t>poverty</w:t>
      </w:r>
      <w:proofErr w:type="gramEnd"/>
      <w:r w:rsidRPr="00E57A5F">
        <w:rPr>
          <w:rFonts w:cs="Arial"/>
          <w:iCs/>
          <w:sz w:val="22"/>
          <w:szCs w:val="22"/>
          <w:lang w:val="en-US"/>
        </w:rPr>
        <w:t xml:space="preserve"> and dependency on government aid schemes. This project will work specifically with young women in this area (Women’s Leadership Centre)</w:t>
      </w:r>
    </w:p>
    <w:p w14:paraId="15BFC191" w14:textId="77777777" w:rsidR="00E57A5F" w:rsidRPr="00E57A5F" w:rsidRDefault="00E57A5F" w:rsidP="00E57A5F">
      <w:pPr>
        <w:jc w:val="both"/>
        <w:rPr>
          <w:rFonts w:cs="Arial"/>
          <w:iCs/>
          <w:sz w:val="22"/>
          <w:szCs w:val="22"/>
          <w:lang w:val="en-ZA"/>
        </w:rPr>
      </w:pPr>
      <w:r w:rsidRPr="00E57A5F">
        <w:rPr>
          <w:rFonts w:cs="Arial"/>
          <w:iCs/>
          <w:sz w:val="22"/>
          <w:szCs w:val="22"/>
          <w:lang w:val="en-ZA"/>
        </w:rPr>
        <w:t xml:space="preserve">Population: 150, 809 </w:t>
      </w:r>
    </w:p>
    <w:p w14:paraId="7871A6B9" w14:textId="77777777" w:rsidR="00E57A5F" w:rsidRPr="00E57A5F" w:rsidRDefault="00E57A5F" w:rsidP="00E57A5F">
      <w:pPr>
        <w:jc w:val="both"/>
        <w:rPr>
          <w:rFonts w:cs="Arial"/>
          <w:iCs/>
          <w:sz w:val="22"/>
          <w:szCs w:val="22"/>
          <w:lang w:val="en-ZA"/>
        </w:rPr>
      </w:pPr>
      <w:r w:rsidRPr="00E57A5F">
        <w:rPr>
          <w:rFonts w:cs="Arial"/>
          <w:iCs/>
          <w:sz w:val="22"/>
          <w:szCs w:val="22"/>
          <w:lang w:val="en-ZA"/>
        </w:rPr>
        <w:t>Male Population: 79,823</w:t>
      </w:r>
    </w:p>
    <w:p w14:paraId="6AF63C2B" w14:textId="77777777" w:rsidR="00AD7CAF" w:rsidRDefault="00E57A5F" w:rsidP="00E57A5F">
      <w:pPr>
        <w:jc w:val="both"/>
        <w:rPr>
          <w:rFonts w:cs="Arial"/>
          <w:iCs/>
          <w:sz w:val="22"/>
          <w:szCs w:val="22"/>
          <w:lang w:val="en-ZA"/>
        </w:rPr>
      </w:pPr>
      <w:r w:rsidRPr="00E57A5F">
        <w:rPr>
          <w:rFonts w:cs="Arial"/>
          <w:iCs/>
          <w:sz w:val="22"/>
          <w:szCs w:val="22"/>
          <w:lang w:val="en-ZA"/>
        </w:rPr>
        <w:t>Female Population: 70,986</w:t>
      </w:r>
    </w:p>
    <w:p w14:paraId="5507D168" w14:textId="794C19D8" w:rsidR="00E57A5F" w:rsidRPr="00E57A5F" w:rsidRDefault="00E57A5F" w:rsidP="00E57A5F">
      <w:pPr>
        <w:jc w:val="both"/>
        <w:rPr>
          <w:rFonts w:cs="Arial"/>
          <w:iCs/>
          <w:sz w:val="22"/>
          <w:szCs w:val="22"/>
          <w:lang w:val="en-ZA"/>
        </w:rPr>
      </w:pPr>
      <w:proofErr w:type="spellStart"/>
      <w:r w:rsidRPr="00E57A5F">
        <w:rPr>
          <w:rFonts w:cs="Arial"/>
          <w:i/>
          <w:iCs/>
          <w:sz w:val="22"/>
          <w:szCs w:val="22"/>
          <w:lang w:val="en-ZA"/>
        </w:rPr>
        <w:t>Tsumkwe</w:t>
      </w:r>
      <w:proofErr w:type="spellEnd"/>
      <w:r w:rsidRPr="00E57A5F">
        <w:rPr>
          <w:rFonts w:cs="Arial"/>
          <w:b/>
          <w:bCs/>
          <w:iCs/>
          <w:sz w:val="22"/>
          <w:szCs w:val="22"/>
          <w:lang w:val="en-ZA"/>
        </w:rPr>
        <w:t>:</w:t>
      </w:r>
      <w:r w:rsidRPr="00E57A5F">
        <w:rPr>
          <w:rFonts w:cs="Arial"/>
          <w:iCs/>
          <w:sz w:val="22"/>
          <w:szCs w:val="22"/>
          <w:lang w:val="en-ZA"/>
        </w:rPr>
        <w:t xml:space="preserve"> Population: 11, 163 </w:t>
      </w:r>
    </w:p>
    <w:p w14:paraId="27F975B9" w14:textId="77777777" w:rsidR="00E57A5F" w:rsidRPr="00E57A5F" w:rsidRDefault="00E57A5F" w:rsidP="00E57A5F">
      <w:pPr>
        <w:jc w:val="both"/>
        <w:rPr>
          <w:rFonts w:cs="Arial"/>
          <w:iCs/>
          <w:sz w:val="22"/>
          <w:szCs w:val="22"/>
          <w:lang w:val="en-ZA"/>
        </w:rPr>
      </w:pPr>
      <w:r w:rsidRPr="00E57A5F">
        <w:rPr>
          <w:rFonts w:cs="Arial"/>
          <w:iCs/>
          <w:sz w:val="22"/>
          <w:szCs w:val="22"/>
          <w:lang w:val="en-ZA"/>
        </w:rPr>
        <w:t>Male Population: 5,672</w:t>
      </w:r>
    </w:p>
    <w:p w14:paraId="2826061C" w14:textId="77777777" w:rsidR="00E57A5F" w:rsidRPr="00E57A5F" w:rsidRDefault="00E57A5F" w:rsidP="00E57A5F">
      <w:pPr>
        <w:jc w:val="both"/>
        <w:rPr>
          <w:rFonts w:cs="Arial"/>
          <w:iCs/>
          <w:sz w:val="22"/>
          <w:szCs w:val="22"/>
          <w:lang w:val="en-ZA"/>
        </w:rPr>
      </w:pPr>
      <w:r w:rsidRPr="00E57A5F">
        <w:rPr>
          <w:rFonts w:cs="Arial"/>
          <w:iCs/>
          <w:sz w:val="22"/>
          <w:szCs w:val="22"/>
          <w:lang w:val="en-ZA"/>
        </w:rPr>
        <w:t>Female Population: 5,491</w:t>
      </w:r>
    </w:p>
    <w:p w14:paraId="55C53A16" w14:textId="77777777" w:rsidR="00E57A5F" w:rsidRPr="00E57A5F" w:rsidRDefault="00E57A5F" w:rsidP="00E57A5F">
      <w:pPr>
        <w:jc w:val="both"/>
        <w:rPr>
          <w:rFonts w:cs="Arial"/>
          <w:b/>
          <w:bCs/>
          <w:iCs/>
          <w:sz w:val="22"/>
          <w:szCs w:val="22"/>
          <w:lang w:val="en-ZA"/>
        </w:rPr>
      </w:pPr>
    </w:p>
    <w:p w14:paraId="0A5236A3" w14:textId="09B0C956" w:rsidR="00E57A5F" w:rsidRPr="00E57A5F" w:rsidRDefault="00E57A5F" w:rsidP="00E57A5F">
      <w:pPr>
        <w:jc w:val="both"/>
        <w:rPr>
          <w:rFonts w:cs="Arial"/>
          <w:iCs/>
          <w:sz w:val="22"/>
          <w:szCs w:val="22"/>
          <w:lang w:val="en-GB"/>
        </w:rPr>
      </w:pPr>
      <w:r w:rsidRPr="00E57A5F">
        <w:rPr>
          <w:rFonts w:cs="Arial"/>
          <w:b/>
          <w:bCs/>
          <w:iCs/>
          <w:sz w:val="22"/>
          <w:szCs w:val="22"/>
          <w:lang w:val="en-US"/>
        </w:rPr>
        <w:t xml:space="preserve">The </w:t>
      </w:r>
      <w:proofErr w:type="spellStart"/>
      <w:r w:rsidRPr="00E57A5F">
        <w:rPr>
          <w:rFonts w:cs="Arial"/>
          <w:b/>
          <w:bCs/>
          <w:iCs/>
          <w:sz w:val="22"/>
          <w:szCs w:val="22"/>
          <w:lang w:val="en-US"/>
        </w:rPr>
        <w:t>Khomas</w:t>
      </w:r>
      <w:proofErr w:type="spellEnd"/>
      <w:r w:rsidRPr="00E57A5F">
        <w:rPr>
          <w:rFonts w:cs="Arial"/>
          <w:b/>
          <w:bCs/>
          <w:iCs/>
          <w:sz w:val="22"/>
          <w:szCs w:val="22"/>
          <w:lang w:val="en-US"/>
        </w:rPr>
        <w:t xml:space="preserve"> </w:t>
      </w:r>
      <w:r w:rsidR="00AD7CAF" w:rsidRPr="00E57A5F">
        <w:rPr>
          <w:rFonts w:cs="Arial"/>
          <w:b/>
          <w:bCs/>
          <w:iCs/>
          <w:sz w:val="22"/>
          <w:szCs w:val="22"/>
          <w:lang w:val="en-US"/>
        </w:rPr>
        <w:t xml:space="preserve">region </w:t>
      </w:r>
      <w:r w:rsidR="00AD7CAF" w:rsidRPr="00E57A5F">
        <w:rPr>
          <w:rFonts w:cs="Arial"/>
          <w:iCs/>
          <w:sz w:val="22"/>
          <w:szCs w:val="22"/>
          <w:lang w:val="en-US"/>
        </w:rPr>
        <w:t>is</w:t>
      </w:r>
      <w:r w:rsidRPr="00E57A5F">
        <w:rPr>
          <w:rFonts w:cs="Arial"/>
          <w:iCs/>
          <w:sz w:val="22"/>
          <w:szCs w:val="22"/>
          <w:lang w:val="en-US"/>
        </w:rPr>
        <w:t xml:space="preserve"> centered on the capital city Windhoek in the central highlands of the country. It has well-developed economic, financial, and trade sectors. </w:t>
      </w:r>
      <w:proofErr w:type="spellStart"/>
      <w:r w:rsidRPr="00E57A5F">
        <w:rPr>
          <w:rFonts w:cs="Arial"/>
          <w:iCs/>
          <w:sz w:val="22"/>
          <w:szCs w:val="22"/>
          <w:lang w:val="en-US"/>
        </w:rPr>
        <w:t>Khomas</w:t>
      </w:r>
      <w:proofErr w:type="spellEnd"/>
      <w:r w:rsidRPr="00E57A5F">
        <w:rPr>
          <w:rFonts w:cs="Arial"/>
          <w:iCs/>
          <w:sz w:val="22"/>
          <w:szCs w:val="22"/>
          <w:lang w:val="en-US"/>
        </w:rPr>
        <w:t xml:space="preserve"> Region occupies 4.5% of the land area of Namibia but has the highest population of any of its regions (16.2%), by far most of whom live in the capital city and surroundings. Like the coastal area it is a melting pot of all Namibia’s diverse population groups. </w:t>
      </w:r>
      <w:r w:rsidRPr="00E57A5F">
        <w:rPr>
          <w:rFonts w:cs="Arial"/>
          <w:iCs/>
          <w:sz w:val="22"/>
          <w:szCs w:val="22"/>
          <w:lang w:val="en-GB"/>
        </w:rPr>
        <w:t xml:space="preserve">The HIV Prevalence is 8.3%. In 2020 there were 371 teenage pregnancy cases in a period of nine months. During the first and second terms of 2020, 139 school going girls fell pregnant while the third term saw 232 school going girls get pregnant. High teenage pregnancy is partly attributed to peer pressure and to lack of parental involvement in educating children on sexual reproductive health. Girls often cannot negotiate for safer sex because the men they are engaged with are supporting them financially. The project will work in 4 Windhoek constituencies that </w:t>
      </w:r>
      <w:proofErr w:type="gramStart"/>
      <w:r w:rsidRPr="00E57A5F">
        <w:rPr>
          <w:rFonts w:cs="Arial"/>
          <w:iCs/>
          <w:sz w:val="22"/>
          <w:szCs w:val="22"/>
          <w:lang w:val="en-GB"/>
        </w:rPr>
        <w:t>are located in</w:t>
      </w:r>
      <w:proofErr w:type="gramEnd"/>
      <w:r w:rsidRPr="00E57A5F">
        <w:rPr>
          <w:rFonts w:cs="Arial"/>
          <w:iCs/>
          <w:sz w:val="22"/>
          <w:szCs w:val="22"/>
          <w:lang w:val="en-GB"/>
        </w:rPr>
        <w:t xml:space="preserve"> Katutura (Katutura East and Central constituencies, Tobias </w:t>
      </w:r>
      <w:proofErr w:type="spellStart"/>
      <w:r w:rsidRPr="00E57A5F">
        <w:rPr>
          <w:rFonts w:cs="Arial"/>
          <w:iCs/>
          <w:sz w:val="22"/>
          <w:szCs w:val="22"/>
          <w:lang w:val="en-GB"/>
        </w:rPr>
        <w:t>Hainyeko</w:t>
      </w:r>
      <w:proofErr w:type="spellEnd"/>
      <w:r w:rsidRPr="00E57A5F">
        <w:rPr>
          <w:rFonts w:cs="Arial"/>
          <w:iCs/>
          <w:sz w:val="22"/>
          <w:szCs w:val="22"/>
          <w:lang w:val="en-GB"/>
        </w:rPr>
        <w:t xml:space="preserve"> constituency, </w:t>
      </w:r>
      <w:proofErr w:type="spellStart"/>
      <w:r w:rsidRPr="00E57A5F">
        <w:rPr>
          <w:rFonts w:cs="Arial"/>
          <w:iCs/>
          <w:sz w:val="22"/>
          <w:szCs w:val="22"/>
          <w:lang w:val="en-GB"/>
        </w:rPr>
        <w:t>Samora</w:t>
      </w:r>
      <w:proofErr w:type="spellEnd"/>
      <w:r w:rsidRPr="00E57A5F">
        <w:rPr>
          <w:rFonts w:cs="Arial"/>
          <w:iCs/>
          <w:sz w:val="22"/>
          <w:szCs w:val="22"/>
          <w:lang w:val="en-GB"/>
        </w:rPr>
        <w:t xml:space="preserve"> Machel Constituency (formerly known as </w:t>
      </w:r>
      <w:proofErr w:type="spellStart"/>
      <w:r w:rsidRPr="00E57A5F">
        <w:rPr>
          <w:rFonts w:cs="Arial"/>
          <w:iCs/>
          <w:sz w:val="22"/>
          <w:szCs w:val="22"/>
          <w:lang w:val="en-GB"/>
        </w:rPr>
        <w:t>Wanaheda</w:t>
      </w:r>
      <w:proofErr w:type="spellEnd"/>
      <w:r w:rsidRPr="00E57A5F">
        <w:rPr>
          <w:rFonts w:cs="Arial"/>
          <w:iCs/>
          <w:sz w:val="22"/>
          <w:szCs w:val="22"/>
          <w:lang w:val="en-GB"/>
        </w:rPr>
        <w:t xml:space="preserve">). These constituencies house the largest of Windhoek’s’ population and are faced with high levels of GBV, alcohol and other substance misuse and high levels of </w:t>
      </w:r>
      <w:proofErr w:type="gramStart"/>
      <w:r w:rsidRPr="00E57A5F">
        <w:rPr>
          <w:rFonts w:cs="Arial"/>
          <w:iCs/>
          <w:sz w:val="22"/>
          <w:szCs w:val="22"/>
          <w:lang w:val="en-GB"/>
        </w:rPr>
        <w:t>Teenage</w:t>
      </w:r>
      <w:proofErr w:type="gramEnd"/>
      <w:r w:rsidRPr="00E57A5F">
        <w:rPr>
          <w:rFonts w:cs="Arial"/>
          <w:iCs/>
          <w:sz w:val="22"/>
          <w:szCs w:val="22"/>
          <w:lang w:val="en-GB"/>
        </w:rPr>
        <w:t xml:space="preserve"> pregnancy.  </w:t>
      </w:r>
    </w:p>
    <w:p w14:paraId="101F05DD" w14:textId="77777777" w:rsidR="00E57A5F" w:rsidRPr="00E57A5F" w:rsidRDefault="00E57A5F" w:rsidP="00E57A5F">
      <w:pPr>
        <w:jc w:val="both"/>
        <w:rPr>
          <w:rFonts w:cs="Arial"/>
          <w:iCs/>
          <w:sz w:val="22"/>
          <w:szCs w:val="22"/>
          <w:lang w:val="en-GB"/>
        </w:rPr>
      </w:pPr>
      <w:r w:rsidRPr="00E57A5F">
        <w:rPr>
          <w:rFonts w:cs="Arial"/>
          <w:iCs/>
          <w:sz w:val="22"/>
          <w:szCs w:val="22"/>
          <w:lang w:val="en-GB"/>
        </w:rPr>
        <w:t>Population: 342, 141</w:t>
      </w:r>
    </w:p>
    <w:p w14:paraId="1130B785" w14:textId="77777777" w:rsidR="00E57A5F" w:rsidRPr="00E57A5F" w:rsidRDefault="00E57A5F" w:rsidP="00E57A5F">
      <w:pPr>
        <w:jc w:val="both"/>
        <w:rPr>
          <w:rFonts w:cs="Arial"/>
          <w:iCs/>
          <w:sz w:val="22"/>
          <w:szCs w:val="22"/>
          <w:lang w:val="en-GB"/>
        </w:rPr>
      </w:pPr>
      <w:r w:rsidRPr="00E57A5F">
        <w:rPr>
          <w:rFonts w:cs="Arial"/>
          <w:iCs/>
          <w:sz w:val="22"/>
          <w:szCs w:val="22"/>
          <w:lang w:val="en-GB"/>
        </w:rPr>
        <w:t>Female Population 172,469</w:t>
      </w:r>
    </w:p>
    <w:p w14:paraId="14FD20B1" w14:textId="77777777" w:rsidR="00E57A5F" w:rsidRPr="00E57A5F" w:rsidRDefault="00E57A5F" w:rsidP="00E57A5F">
      <w:pPr>
        <w:jc w:val="both"/>
        <w:rPr>
          <w:rFonts w:cs="Arial"/>
          <w:iCs/>
          <w:sz w:val="22"/>
          <w:szCs w:val="22"/>
          <w:lang w:val="en-US"/>
        </w:rPr>
      </w:pPr>
      <w:r w:rsidRPr="00E57A5F">
        <w:rPr>
          <w:rFonts w:cs="Arial"/>
          <w:iCs/>
          <w:sz w:val="22"/>
          <w:szCs w:val="22"/>
          <w:lang w:val="en-GB"/>
        </w:rPr>
        <w:t>Male Population: 169,672</w:t>
      </w:r>
    </w:p>
    <w:p w14:paraId="4DDBE2B1" w14:textId="77777777" w:rsidR="00E57A5F" w:rsidRPr="00E57A5F" w:rsidRDefault="00E57A5F" w:rsidP="00E57A5F">
      <w:pPr>
        <w:jc w:val="both"/>
        <w:rPr>
          <w:rFonts w:cs="Arial"/>
          <w:iCs/>
          <w:sz w:val="22"/>
          <w:szCs w:val="22"/>
          <w:lang w:val="en-ZA"/>
        </w:rPr>
      </w:pPr>
    </w:p>
    <w:p w14:paraId="07948994" w14:textId="6E5643D4" w:rsidR="00E57A5F" w:rsidRPr="00E57A5F" w:rsidRDefault="00E57A5F" w:rsidP="00E57A5F">
      <w:pPr>
        <w:jc w:val="both"/>
        <w:rPr>
          <w:rFonts w:cs="Arial"/>
          <w:iCs/>
          <w:sz w:val="22"/>
          <w:szCs w:val="22"/>
          <w:lang w:val="en-US"/>
        </w:rPr>
      </w:pPr>
      <w:r w:rsidRPr="00E57A5F">
        <w:rPr>
          <w:rFonts w:cs="Arial"/>
          <w:b/>
          <w:bCs/>
          <w:iCs/>
          <w:sz w:val="22"/>
          <w:szCs w:val="22"/>
          <w:lang w:val="en-US"/>
        </w:rPr>
        <w:t>The Kunene region</w:t>
      </w:r>
      <w:r w:rsidRPr="00E57A5F">
        <w:rPr>
          <w:rFonts w:cs="Arial"/>
          <w:iCs/>
          <w:sz w:val="22"/>
          <w:szCs w:val="22"/>
          <w:lang w:val="en-US"/>
        </w:rPr>
        <w:t xml:space="preserve"> in the far </w:t>
      </w:r>
      <w:proofErr w:type="gramStart"/>
      <w:r w:rsidRPr="00E57A5F">
        <w:rPr>
          <w:rFonts w:cs="Arial"/>
          <w:iCs/>
          <w:sz w:val="22"/>
          <w:szCs w:val="22"/>
          <w:lang w:val="en-US"/>
        </w:rPr>
        <w:t>North West</w:t>
      </w:r>
      <w:proofErr w:type="gramEnd"/>
      <w:r w:rsidRPr="00E57A5F">
        <w:rPr>
          <w:rFonts w:cs="Arial"/>
          <w:iCs/>
          <w:sz w:val="22"/>
          <w:szCs w:val="22"/>
          <w:lang w:val="en-US"/>
        </w:rPr>
        <w:t xml:space="preserve"> of Namibia is extremely dry and scarcely populated. The population is </w:t>
      </w:r>
      <w:r w:rsidR="00553C13" w:rsidRPr="00E57A5F">
        <w:rPr>
          <w:rFonts w:cs="Arial"/>
          <w:iCs/>
          <w:sz w:val="22"/>
          <w:szCs w:val="22"/>
          <w:lang w:val="en-US"/>
        </w:rPr>
        <w:t xml:space="preserve">mostly </w:t>
      </w:r>
      <w:proofErr w:type="spellStart"/>
      <w:r w:rsidR="00553C13" w:rsidRPr="00E57A5F">
        <w:rPr>
          <w:rFonts w:cs="Arial"/>
          <w:iCs/>
          <w:sz w:val="22"/>
          <w:szCs w:val="22"/>
          <w:lang w:val="en-US"/>
        </w:rPr>
        <w:t>Otjiherero</w:t>
      </w:r>
      <w:proofErr w:type="spellEnd"/>
      <w:r w:rsidRPr="00E57A5F">
        <w:rPr>
          <w:rFonts w:cs="Arial"/>
          <w:iCs/>
          <w:sz w:val="22"/>
          <w:szCs w:val="22"/>
          <w:lang w:val="en-US"/>
        </w:rPr>
        <w:t xml:space="preserve"> speaking population groups (47% of households) and Nama/Damara (32%). Agriculture is limited with some cattle and goat farming possible. In terms of mining, there has been identified substantial reserves of Iron and Cobalt.  School attendance is markedly lower than in other Namibian regions and the teenage pregnancy rate is over 30%, one of the highest in Namibia. The region is severely underserved in LGBT response, and face great issues related to child marriage. The adult HIV prevalence is 7,6%. The project will operate in the town of </w:t>
      </w:r>
      <w:proofErr w:type="spellStart"/>
      <w:r w:rsidR="004B77F4" w:rsidRPr="00E57A5F">
        <w:rPr>
          <w:rFonts w:cs="Arial"/>
          <w:iCs/>
          <w:sz w:val="22"/>
          <w:szCs w:val="22"/>
          <w:lang w:val="en-US"/>
        </w:rPr>
        <w:t>Outjo</w:t>
      </w:r>
      <w:proofErr w:type="spellEnd"/>
      <w:r w:rsidR="004B77F4" w:rsidRPr="00E57A5F">
        <w:rPr>
          <w:rFonts w:cs="Arial"/>
          <w:iCs/>
          <w:sz w:val="22"/>
          <w:szCs w:val="22"/>
          <w:lang w:val="en-US"/>
        </w:rPr>
        <w:t>,</w:t>
      </w:r>
      <w:r w:rsidR="00A36BA8">
        <w:rPr>
          <w:rFonts w:cs="Arial"/>
          <w:iCs/>
          <w:sz w:val="22"/>
          <w:szCs w:val="22"/>
          <w:lang w:val="en-US"/>
        </w:rPr>
        <w:t xml:space="preserve"> </w:t>
      </w:r>
      <w:r w:rsidRPr="00E57A5F">
        <w:rPr>
          <w:rFonts w:cs="Arial"/>
          <w:iCs/>
          <w:sz w:val="22"/>
          <w:szCs w:val="22"/>
          <w:lang w:val="en-US"/>
        </w:rPr>
        <w:t>the capital city of the region</w:t>
      </w:r>
      <w:r w:rsidR="0008010E">
        <w:rPr>
          <w:rFonts w:cs="Arial"/>
          <w:iCs/>
          <w:sz w:val="22"/>
          <w:szCs w:val="22"/>
          <w:lang w:val="en-US"/>
        </w:rPr>
        <w:t xml:space="preserve">, which is facing problems with </w:t>
      </w:r>
      <w:r w:rsidR="00483310" w:rsidRPr="00483310">
        <w:rPr>
          <w:rFonts w:cs="Arial"/>
          <w:bCs/>
          <w:iCs/>
          <w:sz w:val="22"/>
          <w:szCs w:val="22"/>
          <w:lang w:val="en-US"/>
        </w:rPr>
        <w:t xml:space="preserve">poverty, gender-based violence, alcohol abuse, </w:t>
      </w:r>
      <w:proofErr w:type="gramStart"/>
      <w:r w:rsidR="00483310" w:rsidRPr="00483310">
        <w:rPr>
          <w:rFonts w:cs="Arial"/>
          <w:bCs/>
          <w:iCs/>
          <w:sz w:val="22"/>
          <w:szCs w:val="22"/>
          <w:lang w:val="en-US"/>
        </w:rPr>
        <w:t>unemployment</w:t>
      </w:r>
      <w:proofErr w:type="gramEnd"/>
      <w:r w:rsidR="0008010E">
        <w:rPr>
          <w:rFonts w:cs="Arial"/>
          <w:bCs/>
          <w:iCs/>
          <w:sz w:val="22"/>
          <w:szCs w:val="22"/>
          <w:lang w:val="en-US"/>
        </w:rPr>
        <w:t xml:space="preserve"> and</w:t>
      </w:r>
      <w:r w:rsidR="00483310" w:rsidRPr="00483310">
        <w:rPr>
          <w:rFonts w:cs="Arial"/>
          <w:bCs/>
          <w:iCs/>
          <w:sz w:val="22"/>
          <w:szCs w:val="22"/>
          <w:lang w:val="en-US"/>
        </w:rPr>
        <w:t xml:space="preserve"> teenage pregnancies.  </w:t>
      </w:r>
      <w:r w:rsidR="00A74A6F">
        <w:rPr>
          <w:rFonts w:cs="Arial"/>
          <w:bCs/>
          <w:iCs/>
          <w:sz w:val="22"/>
          <w:szCs w:val="22"/>
          <w:lang w:val="en-US"/>
        </w:rPr>
        <w:t>Apart from Pots of Hope, t</w:t>
      </w:r>
      <w:r w:rsidR="00483310" w:rsidRPr="00483310">
        <w:rPr>
          <w:rFonts w:cs="Arial"/>
          <w:bCs/>
          <w:iCs/>
          <w:sz w:val="22"/>
          <w:szCs w:val="22"/>
          <w:lang w:val="en-US"/>
        </w:rPr>
        <w:t xml:space="preserve">here </w:t>
      </w:r>
      <w:r w:rsidR="005673C8">
        <w:rPr>
          <w:rFonts w:cs="Arial"/>
          <w:bCs/>
          <w:iCs/>
          <w:sz w:val="22"/>
          <w:szCs w:val="22"/>
          <w:lang w:val="en-US"/>
        </w:rPr>
        <w:t xml:space="preserve">is </w:t>
      </w:r>
      <w:r w:rsidR="00483310" w:rsidRPr="00483310">
        <w:rPr>
          <w:rFonts w:cs="Arial"/>
          <w:bCs/>
          <w:iCs/>
          <w:sz w:val="22"/>
          <w:szCs w:val="22"/>
          <w:lang w:val="en-US"/>
        </w:rPr>
        <w:t xml:space="preserve">no NGO’s that address these deep-rooted problems in </w:t>
      </w:r>
      <w:proofErr w:type="spellStart"/>
      <w:r w:rsidR="00483310" w:rsidRPr="00483310">
        <w:rPr>
          <w:rFonts w:cs="Arial"/>
          <w:bCs/>
          <w:iCs/>
          <w:sz w:val="22"/>
          <w:szCs w:val="22"/>
          <w:lang w:val="en-US"/>
        </w:rPr>
        <w:t>Outjo</w:t>
      </w:r>
      <w:proofErr w:type="spellEnd"/>
      <w:r w:rsidR="00483310" w:rsidRPr="00483310">
        <w:rPr>
          <w:rFonts w:cs="Arial"/>
          <w:bCs/>
          <w:iCs/>
          <w:sz w:val="22"/>
          <w:szCs w:val="22"/>
          <w:lang w:val="en-US"/>
        </w:rPr>
        <w:t>.</w:t>
      </w:r>
      <w:r w:rsidR="00B6040F">
        <w:rPr>
          <w:rFonts w:cs="Arial"/>
          <w:bCs/>
          <w:iCs/>
          <w:sz w:val="22"/>
          <w:szCs w:val="22"/>
          <w:lang w:val="en-US"/>
        </w:rPr>
        <w:t xml:space="preserve"> </w:t>
      </w:r>
      <w:r w:rsidRPr="00E57A5F">
        <w:rPr>
          <w:rFonts w:cs="Arial"/>
          <w:iCs/>
          <w:sz w:val="22"/>
          <w:szCs w:val="22"/>
          <w:lang w:val="en-US"/>
        </w:rPr>
        <w:t>This site is also the hub of</w:t>
      </w:r>
      <w:r w:rsidR="007A6EB5">
        <w:rPr>
          <w:rFonts w:cs="Arial"/>
          <w:iCs/>
          <w:sz w:val="22"/>
          <w:szCs w:val="22"/>
          <w:lang w:val="en-US"/>
        </w:rPr>
        <w:t xml:space="preserve"> the</w:t>
      </w:r>
      <w:r w:rsidRPr="00E57A5F">
        <w:rPr>
          <w:rFonts w:cs="Arial"/>
          <w:iCs/>
          <w:sz w:val="22"/>
          <w:szCs w:val="22"/>
          <w:lang w:val="en-US"/>
        </w:rPr>
        <w:t xml:space="preserve"> LGBT community within the region. </w:t>
      </w:r>
    </w:p>
    <w:p w14:paraId="686EAE1B" w14:textId="5CE09733" w:rsidR="00E57A5F" w:rsidRPr="00E57A5F" w:rsidRDefault="00E57A5F" w:rsidP="00E57A5F">
      <w:pPr>
        <w:jc w:val="both"/>
        <w:rPr>
          <w:rFonts w:cs="Arial"/>
          <w:iCs/>
          <w:sz w:val="22"/>
          <w:szCs w:val="22"/>
          <w:lang w:val="en-ZA"/>
        </w:rPr>
      </w:pPr>
      <w:r w:rsidRPr="00E57A5F">
        <w:rPr>
          <w:rFonts w:cs="Arial"/>
          <w:iCs/>
          <w:sz w:val="22"/>
          <w:szCs w:val="22"/>
          <w:lang w:val="en-ZA"/>
        </w:rPr>
        <w:t xml:space="preserve">Population: </w:t>
      </w:r>
      <w:r w:rsidR="001F3061">
        <w:rPr>
          <w:rFonts w:cs="Arial"/>
          <w:iCs/>
          <w:sz w:val="22"/>
          <w:szCs w:val="22"/>
          <w:lang w:val="en-ZA"/>
        </w:rPr>
        <w:tab/>
      </w:r>
      <w:r w:rsidR="001F3061">
        <w:rPr>
          <w:rFonts w:cs="Arial"/>
          <w:iCs/>
          <w:sz w:val="22"/>
          <w:szCs w:val="22"/>
          <w:lang w:val="en-ZA"/>
        </w:rPr>
        <w:tab/>
      </w:r>
      <w:r w:rsidRPr="00E57A5F">
        <w:rPr>
          <w:rFonts w:cs="Arial"/>
          <w:iCs/>
          <w:sz w:val="22"/>
          <w:szCs w:val="22"/>
          <w:lang w:val="en-ZA"/>
        </w:rPr>
        <w:t>86,856</w:t>
      </w:r>
    </w:p>
    <w:p w14:paraId="791A3C9D" w14:textId="424AB4CE" w:rsidR="00E57A5F" w:rsidRPr="00E57A5F" w:rsidRDefault="00E57A5F" w:rsidP="00E57A5F">
      <w:pPr>
        <w:jc w:val="both"/>
        <w:rPr>
          <w:rFonts w:cs="Arial"/>
          <w:iCs/>
          <w:sz w:val="22"/>
          <w:szCs w:val="22"/>
          <w:lang w:val="en-ZA"/>
        </w:rPr>
      </w:pPr>
      <w:r w:rsidRPr="00E57A5F">
        <w:rPr>
          <w:rFonts w:cs="Arial"/>
          <w:iCs/>
          <w:sz w:val="22"/>
          <w:szCs w:val="22"/>
          <w:lang w:val="en-ZA"/>
        </w:rPr>
        <w:t xml:space="preserve">Male Population: </w:t>
      </w:r>
      <w:r w:rsidR="001F3061">
        <w:rPr>
          <w:rFonts w:cs="Arial"/>
          <w:iCs/>
          <w:sz w:val="22"/>
          <w:szCs w:val="22"/>
          <w:lang w:val="en-ZA"/>
        </w:rPr>
        <w:tab/>
      </w:r>
      <w:r w:rsidRPr="00E57A5F">
        <w:rPr>
          <w:rFonts w:cs="Arial"/>
          <w:iCs/>
          <w:sz w:val="22"/>
          <w:szCs w:val="22"/>
          <w:lang w:val="en-ZA"/>
        </w:rPr>
        <w:t>43,603</w:t>
      </w:r>
    </w:p>
    <w:p w14:paraId="7E944812" w14:textId="47071BB3" w:rsidR="00E57A5F" w:rsidRPr="00E57A5F" w:rsidRDefault="00E57A5F" w:rsidP="00E57A5F">
      <w:pPr>
        <w:jc w:val="both"/>
        <w:rPr>
          <w:rFonts w:cs="Arial"/>
          <w:iCs/>
          <w:sz w:val="22"/>
          <w:szCs w:val="22"/>
          <w:lang w:val="en-ZA"/>
        </w:rPr>
      </w:pPr>
      <w:r w:rsidRPr="00E57A5F">
        <w:rPr>
          <w:rFonts w:cs="Arial"/>
          <w:iCs/>
          <w:sz w:val="22"/>
          <w:szCs w:val="22"/>
          <w:lang w:val="en-ZA"/>
        </w:rPr>
        <w:t xml:space="preserve">Female Population: </w:t>
      </w:r>
      <w:r w:rsidR="001F3061">
        <w:rPr>
          <w:rFonts w:cs="Arial"/>
          <w:iCs/>
          <w:sz w:val="22"/>
          <w:szCs w:val="22"/>
          <w:lang w:val="en-ZA"/>
        </w:rPr>
        <w:tab/>
      </w:r>
      <w:r w:rsidRPr="00E57A5F">
        <w:rPr>
          <w:rFonts w:cs="Arial"/>
          <w:iCs/>
          <w:sz w:val="22"/>
          <w:szCs w:val="22"/>
          <w:lang w:val="en-ZA"/>
        </w:rPr>
        <w:t>43,253</w:t>
      </w:r>
    </w:p>
    <w:p w14:paraId="199DD041" w14:textId="62FDDDB5" w:rsidR="00E57A5F" w:rsidRPr="00E57A5F" w:rsidRDefault="00E57A5F" w:rsidP="00E57A5F">
      <w:pPr>
        <w:jc w:val="both"/>
        <w:rPr>
          <w:rFonts w:cs="Arial"/>
          <w:iCs/>
          <w:sz w:val="22"/>
          <w:szCs w:val="22"/>
          <w:lang w:val="en-ZA"/>
        </w:rPr>
      </w:pPr>
      <w:proofErr w:type="spellStart"/>
      <w:r w:rsidRPr="005D3770">
        <w:rPr>
          <w:rFonts w:cs="Arial"/>
          <w:i/>
          <w:sz w:val="22"/>
          <w:szCs w:val="22"/>
          <w:lang w:val="en-ZA"/>
        </w:rPr>
        <w:t>Outjo</w:t>
      </w:r>
      <w:proofErr w:type="spellEnd"/>
      <w:r w:rsidRPr="00E57A5F">
        <w:rPr>
          <w:rFonts w:cs="Arial"/>
          <w:iCs/>
          <w:sz w:val="22"/>
          <w:szCs w:val="22"/>
          <w:lang w:val="en-ZA"/>
        </w:rPr>
        <w:t xml:space="preserve">     </w:t>
      </w:r>
      <w:r w:rsidRPr="00771C87">
        <w:rPr>
          <w:rFonts w:cs="Arial"/>
          <w:iCs/>
          <w:sz w:val="22"/>
          <w:szCs w:val="22"/>
          <w:lang w:val="en-ZA"/>
        </w:rPr>
        <w:t xml:space="preserve">                             </w:t>
      </w:r>
      <w:r w:rsidRPr="00E57A5F">
        <w:rPr>
          <w:rFonts w:cs="Arial"/>
          <w:iCs/>
          <w:sz w:val="22"/>
          <w:szCs w:val="22"/>
          <w:lang w:val="en-ZA"/>
        </w:rPr>
        <w:t>8,445</w:t>
      </w:r>
    </w:p>
    <w:p w14:paraId="564B0EE0" w14:textId="77777777" w:rsidR="00E57A5F" w:rsidRPr="00E57A5F" w:rsidRDefault="00E57A5F" w:rsidP="00E57A5F">
      <w:pPr>
        <w:jc w:val="both"/>
        <w:rPr>
          <w:rFonts w:cs="Arial"/>
          <w:iCs/>
          <w:sz w:val="22"/>
          <w:szCs w:val="22"/>
          <w:lang w:val="en-ZA"/>
        </w:rPr>
      </w:pPr>
      <w:r w:rsidRPr="00E57A5F">
        <w:rPr>
          <w:rFonts w:cs="Arial"/>
          <w:iCs/>
          <w:sz w:val="22"/>
          <w:szCs w:val="22"/>
          <w:lang w:val="en-ZA"/>
        </w:rPr>
        <w:t xml:space="preserve">Male Population               7,799 </w:t>
      </w:r>
    </w:p>
    <w:p w14:paraId="1886893C" w14:textId="77777777" w:rsidR="00E57A5F" w:rsidRPr="00E57A5F" w:rsidRDefault="00E57A5F" w:rsidP="00E57A5F">
      <w:pPr>
        <w:jc w:val="both"/>
        <w:rPr>
          <w:rFonts w:cs="Arial"/>
          <w:iCs/>
          <w:sz w:val="22"/>
          <w:szCs w:val="22"/>
          <w:lang w:val="en-ZA"/>
        </w:rPr>
      </w:pPr>
      <w:r w:rsidRPr="00E57A5F">
        <w:rPr>
          <w:rFonts w:cs="Arial"/>
          <w:iCs/>
          <w:sz w:val="22"/>
          <w:szCs w:val="22"/>
          <w:lang w:val="en-ZA"/>
        </w:rPr>
        <w:t xml:space="preserve">Female Population           7,230 </w:t>
      </w:r>
    </w:p>
    <w:p w14:paraId="7C4B7ED0" w14:textId="77777777" w:rsidR="00E57A5F" w:rsidRPr="00E57A5F" w:rsidRDefault="00E57A5F" w:rsidP="00E57A5F">
      <w:pPr>
        <w:jc w:val="both"/>
        <w:rPr>
          <w:rFonts w:cs="Arial"/>
          <w:iCs/>
          <w:sz w:val="22"/>
          <w:szCs w:val="22"/>
          <w:lang w:val="en-GB"/>
        </w:rPr>
      </w:pPr>
    </w:p>
    <w:p w14:paraId="16030357" w14:textId="5B50839A" w:rsidR="0005686C" w:rsidRPr="00B72BD5" w:rsidRDefault="00130C3D" w:rsidP="006D14EB">
      <w:pPr>
        <w:pStyle w:val="Heading2"/>
      </w:pPr>
      <w:bookmarkStart w:id="40" w:name="_Toc113951217"/>
      <w:r w:rsidRPr="00B72BD5">
        <w:t xml:space="preserve">Target group involvement in preparation of this proposal and </w:t>
      </w:r>
      <w:r w:rsidR="0005686C" w:rsidRPr="00B72BD5">
        <w:t>Partners’ legitimacy and relationships with target groups</w:t>
      </w:r>
      <w:bookmarkEnd w:id="39"/>
      <w:bookmarkEnd w:id="40"/>
    </w:p>
    <w:p w14:paraId="179BBAF6" w14:textId="75551391" w:rsidR="00F1404A" w:rsidRPr="00B72BD5" w:rsidRDefault="00C014AB" w:rsidP="00706137">
      <w:pPr>
        <w:rPr>
          <w:sz w:val="22"/>
          <w:szCs w:val="22"/>
          <w:lang w:val="en-ZA"/>
        </w:rPr>
      </w:pPr>
      <w:r w:rsidRPr="00B72BD5">
        <w:rPr>
          <w:sz w:val="22"/>
          <w:szCs w:val="22"/>
          <w:lang w:val="en-ZA"/>
        </w:rPr>
        <w:t>In the development of the new</w:t>
      </w:r>
      <w:r w:rsidR="000A274A" w:rsidRPr="00B72BD5">
        <w:rPr>
          <w:sz w:val="22"/>
          <w:szCs w:val="22"/>
          <w:lang w:val="en-ZA"/>
        </w:rPr>
        <w:t xml:space="preserve"> PV AYP strategy that forms the foundation for</w:t>
      </w:r>
      <w:r w:rsidR="003B3370" w:rsidRPr="00B72BD5">
        <w:rPr>
          <w:sz w:val="22"/>
          <w:szCs w:val="22"/>
          <w:lang w:val="en-ZA"/>
        </w:rPr>
        <w:t xml:space="preserve"> and gives direction to</w:t>
      </w:r>
      <w:r w:rsidR="000A274A" w:rsidRPr="00B72BD5">
        <w:rPr>
          <w:sz w:val="22"/>
          <w:szCs w:val="22"/>
          <w:lang w:val="en-ZA"/>
        </w:rPr>
        <w:t xml:space="preserve"> this project, </w:t>
      </w:r>
      <w:r w:rsidR="003B3370" w:rsidRPr="00B72BD5">
        <w:rPr>
          <w:sz w:val="22"/>
          <w:szCs w:val="22"/>
          <w:lang w:val="en-ZA"/>
        </w:rPr>
        <w:t>individual</w:t>
      </w:r>
      <w:r w:rsidR="000455D6" w:rsidRPr="00B72BD5">
        <w:rPr>
          <w:sz w:val="22"/>
          <w:szCs w:val="22"/>
          <w:lang w:val="en-ZA"/>
        </w:rPr>
        <w:t xml:space="preserve">s from </w:t>
      </w:r>
      <w:r w:rsidR="00BF31C2" w:rsidRPr="00B72BD5">
        <w:rPr>
          <w:sz w:val="22"/>
          <w:szCs w:val="22"/>
          <w:lang w:val="en-ZA"/>
        </w:rPr>
        <w:t>the target</w:t>
      </w:r>
      <w:r w:rsidR="000455D6" w:rsidRPr="00B72BD5">
        <w:rPr>
          <w:sz w:val="22"/>
          <w:szCs w:val="22"/>
          <w:lang w:val="en-ZA"/>
        </w:rPr>
        <w:t xml:space="preserve"> group</w:t>
      </w:r>
      <w:r w:rsidR="00FE0A0F" w:rsidRPr="00B72BD5">
        <w:rPr>
          <w:sz w:val="22"/>
          <w:szCs w:val="22"/>
          <w:lang w:val="en-ZA"/>
        </w:rPr>
        <w:t>s</w:t>
      </w:r>
      <w:r w:rsidR="000455D6" w:rsidRPr="00B72BD5">
        <w:rPr>
          <w:sz w:val="22"/>
          <w:szCs w:val="22"/>
          <w:lang w:val="en-ZA"/>
        </w:rPr>
        <w:t xml:space="preserve"> </w:t>
      </w:r>
      <w:r w:rsidR="001C0A09" w:rsidRPr="00B72BD5">
        <w:rPr>
          <w:sz w:val="22"/>
          <w:szCs w:val="22"/>
          <w:lang w:val="en-ZA"/>
        </w:rPr>
        <w:t>have been</w:t>
      </w:r>
      <w:r w:rsidR="008A05A8" w:rsidRPr="00B72BD5">
        <w:rPr>
          <w:sz w:val="22"/>
          <w:szCs w:val="22"/>
          <w:lang w:val="en-ZA"/>
        </w:rPr>
        <w:t xml:space="preserve"> extensively</w:t>
      </w:r>
      <w:r w:rsidR="001C0A09" w:rsidRPr="00B72BD5">
        <w:rPr>
          <w:sz w:val="22"/>
          <w:szCs w:val="22"/>
          <w:lang w:val="en-ZA"/>
        </w:rPr>
        <w:t xml:space="preserve"> involved in focus group discussions and </w:t>
      </w:r>
      <w:r w:rsidR="001C0A09" w:rsidRPr="00B72BD5">
        <w:rPr>
          <w:sz w:val="22"/>
          <w:szCs w:val="22"/>
          <w:lang w:val="en-ZA"/>
        </w:rPr>
        <w:lastRenderedPageBreak/>
        <w:t>interviews, and organisations representing th</w:t>
      </w:r>
      <w:r w:rsidR="00C21650" w:rsidRPr="00B72BD5">
        <w:rPr>
          <w:sz w:val="22"/>
          <w:szCs w:val="22"/>
          <w:lang w:val="en-ZA"/>
        </w:rPr>
        <w:t>e target groups have been involved in strategy workshops and have been consulted</w:t>
      </w:r>
      <w:r w:rsidR="004A2C19" w:rsidRPr="00B72BD5">
        <w:rPr>
          <w:sz w:val="22"/>
          <w:szCs w:val="22"/>
          <w:lang w:val="en-ZA"/>
        </w:rPr>
        <w:t xml:space="preserve"> </w:t>
      </w:r>
      <w:r w:rsidR="00C11919" w:rsidRPr="00B72BD5">
        <w:rPr>
          <w:sz w:val="22"/>
          <w:szCs w:val="22"/>
          <w:lang w:val="en-ZA"/>
        </w:rPr>
        <w:t>at various stages of the process.</w:t>
      </w:r>
    </w:p>
    <w:p w14:paraId="0CA3E099" w14:textId="13B704BB" w:rsidR="0005686C" w:rsidRPr="00B72BD5" w:rsidRDefault="0005686C" w:rsidP="00C11919">
      <w:pPr>
        <w:ind w:firstLine="357"/>
        <w:rPr>
          <w:sz w:val="22"/>
          <w:szCs w:val="22"/>
          <w:lang w:val="en-ZA"/>
        </w:rPr>
      </w:pPr>
      <w:r w:rsidRPr="004C6A9C">
        <w:rPr>
          <w:sz w:val="22"/>
          <w:szCs w:val="22"/>
          <w:lang w:val="en-ZA"/>
        </w:rPr>
        <w:t xml:space="preserve">PV has implemented a range of activities at community level over many years and has forged strong relationships with </w:t>
      </w:r>
      <w:r w:rsidR="00F60929">
        <w:rPr>
          <w:sz w:val="22"/>
          <w:szCs w:val="22"/>
          <w:lang w:val="en-ZA"/>
        </w:rPr>
        <w:t>LGBT+</w:t>
      </w:r>
      <w:r w:rsidR="00D1024A" w:rsidRPr="004C6A9C">
        <w:rPr>
          <w:sz w:val="22"/>
          <w:szCs w:val="22"/>
          <w:lang w:val="en-ZA"/>
        </w:rPr>
        <w:t xml:space="preserve"> and sex worker communitie</w:t>
      </w:r>
      <w:r w:rsidR="005A5EB6" w:rsidRPr="004C6A9C">
        <w:rPr>
          <w:sz w:val="22"/>
          <w:szCs w:val="22"/>
          <w:lang w:val="en-ZA"/>
        </w:rPr>
        <w:t>s</w:t>
      </w:r>
      <w:r w:rsidR="00D1024A" w:rsidRPr="004C6A9C">
        <w:rPr>
          <w:sz w:val="22"/>
          <w:szCs w:val="22"/>
          <w:lang w:val="en-ZA"/>
        </w:rPr>
        <w:t xml:space="preserve"> across Namibia</w:t>
      </w:r>
    </w:p>
    <w:p w14:paraId="05EC05B5" w14:textId="21963FF5" w:rsidR="0005686C" w:rsidRPr="00B72BD5" w:rsidRDefault="0005686C" w:rsidP="00B16D21">
      <w:pPr>
        <w:ind w:firstLine="357"/>
        <w:rPr>
          <w:sz w:val="22"/>
          <w:szCs w:val="22"/>
          <w:lang w:val="en-ZA"/>
        </w:rPr>
      </w:pPr>
      <w:r w:rsidRPr="00B72BD5">
        <w:rPr>
          <w:sz w:val="22"/>
          <w:szCs w:val="22"/>
          <w:lang w:val="en-ZA"/>
        </w:rPr>
        <w:t xml:space="preserve">PV’s work with youth in Namibia initially focused on children and adolescents living with HIV. In addition, although not previously articulated as a ‘youth programme’, most of PV’s work with the LGBT+ community (2012 on) has a strong youth focus, because the activists driving the movement are themselves young people. Since 2018, PV has extended interventions to adolescent girls and young women in Northern Namibia (Global Fund). This work has focused on sexual and reproductive health and rights (SRH-R), policy and practice reform, and movement building. </w:t>
      </w:r>
    </w:p>
    <w:p w14:paraId="4AA3A61A" w14:textId="1092043B" w:rsidR="0005686C" w:rsidRPr="00B72BD5" w:rsidRDefault="008E301A" w:rsidP="00B16D21">
      <w:pPr>
        <w:pStyle w:val="NoSpacing"/>
        <w:spacing w:line="276" w:lineRule="auto"/>
        <w:ind w:left="66" w:firstLine="357"/>
        <w:rPr>
          <w:rFonts w:cs="Arial"/>
          <w:lang w:val="en-ZA"/>
        </w:rPr>
      </w:pPr>
      <w:r>
        <w:rPr>
          <w:rFonts w:cs="Arial"/>
          <w:lang w:val="en-ZA"/>
        </w:rPr>
        <w:t>Spor Media</w:t>
      </w:r>
      <w:r w:rsidR="0005686C" w:rsidRPr="00B72BD5">
        <w:rPr>
          <w:rFonts w:cs="Arial"/>
          <w:lang w:val="en-ZA"/>
        </w:rPr>
        <w:t xml:space="preserve">’s developmental work around culture and media training in East Africa and South America, as well as its peer-to-peer intercultural learning programs that bring groups of young performers to Denmark to tour schools and </w:t>
      </w:r>
      <w:proofErr w:type="spellStart"/>
      <w:r w:rsidR="0005686C" w:rsidRPr="00B72BD5">
        <w:rPr>
          <w:rFonts w:cs="Arial"/>
          <w:lang w:val="en-ZA"/>
        </w:rPr>
        <w:t>Efterskoler</w:t>
      </w:r>
      <w:proofErr w:type="spellEnd"/>
      <w:r w:rsidR="00F472F7">
        <w:rPr>
          <w:rFonts w:cs="Arial"/>
          <w:lang w:val="en-ZA"/>
        </w:rPr>
        <w:t xml:space="preserve"> or make them meet via the Internet (Global Stay Tours)</w:t>
      </w:r>
      <w:r w:rsidR="0005686C" w:rsidRPr="00B72BD5">
        <w:rPr>
          <w:rFonts w:cs="Arial"/>
          <w:lang w:val="en-ZA"/>
        </w:rPr>
        <w:t xml:space="preserve">, are all focused on adolescents and youth, with a particular emphasis on adolescent girls and young women. </w:t>
      </w:r>
    </w:p>
    <w:p w14:paraId="38831707" w14:textId="77777777" w:rsidR="0043761D" w:rsidRPr="00B72BD5" w:rsidRDefault="0043761D" w:rsidP="00334B32">
      <w:pPr>
        <w:rPr>
          <w:sz w:val="22"/>
          <w:lang w:val="en-GB"/>
        </w:rPr>
      </w:pPr>
    </w:p>
    <w:p w14:paraId="269CD044" w14:textId="22A0F5AF" w:rsidR="00727873" w:rsidRPr="00B72BD5" w:rsidRDefault="000C125B" w:rsidP="000C125B">
      <w:pPr>
        <w:pStyle w:val="Heading2"/>
      </w:pPr>
      <w:bookmarkStart w:id="41" w:name="_Toc113951218"/>
      <w:r w:rsidRPr="00B72BD5">
        <w:t>Strategy</w:t>
      </w:r>
      <w:r w:rsidR="00727873" w:rsidRPr="00B72BD5">
        <w:t xml:space="preserve"> of the intervention</w:t>
      </w:r>
      <w:bookmarkEnd w:id="41"/>
      <w:r w:rsidR="00727873" w:rsidRPr="00B72BD5">
        <w:t xml:space="preserve"> </w:t>
      </w:r>
    </w:p>
    <w:p w14:paraId="2DC435D4" w14:textId="5E78A727" w:rsidR="00951946" w:rsidRPr="00B72BD5" w:rsidRDefault="00951946" w:rsidP="000C125B">
      <w:pPr>
        <w:pStyle w:val="Heading3"/>
        <w:rPr>
          <w:noProof/>
          <w:lang w:val="en-ZA"/>
        </w:rPr>
      </w:pPr>
      <w:bookmarkStart w:id="42" w:name="_Toc34813960"/>
      <w:bookmarkStart w:id="43" w:name="_Toc113951219"/>
      <w:r w:rsidRPr="00B72BD5">
        <w:rPr>
          <w:noProof/>
          <w:lang w:val="en-ZA"/>
        </w:rPr>
        <w:t>Applying past experiences and learning to this intervention</w:t>
      </w:r>
      <w:bookmarkEnd w:id="42"/>
      <w:bookmarkEnd w:id="43"/>
    </w:p>
    <w:p w14:paraId="5B51D66A" w14:textId="13B943B0" w:rsidR="00951946" w:rsidRPr="00B72BD5" w:rsidRDefault="00951946" w:rsidP="00334B32">
      <w:pPr>
        <w:rPr>
          <w:i/>
          <w:iCs/>
          <w:sz w:val="22"/>
          <w:szCs w:val="22"/>
          <w:lang w:val="en-ZA"/>
        </w:rPr>
      </w:pPr>
      <w:r w:rsidRPr="00B72BD5">
        <w:rPr>
          <w:noProof/>
          <w:sz w:val="22"/>
          <w:szCs w:val="22"/>
          <w:lang w:val="en-ZA"/>
        </w:rPr>
        <w:t xml:space="preserve">This intervention grows directly out </w:t>
      </w:r>
      <w:r w:rsidRPr="00B72BD5">
        <w:rPr>
          <w:sz w:val="22"/>
          <w:szCs w:val="22"/>
          <w:lang w:val="en-ZA"/>
        </w:rPr>
        <w:t xml:space="preserve">the Spor/PV CISU-funded intervention </w:t>
      </w:r>
      <w:r w:rsidRPr="00B72BD5">
        <w:rPr>
          <w:i/>
          <w:iCs/>
          <w:sz w:val="22"/>
          <w:szCs w:val="22"/>
          <w:lang w:val="en-ZA"/>
        </w:rPr>
        <w:t xml:space="preserve">Getting ready for a comprehensive Adolescents and Young People (AYP) Programme in Namibia </w:t>
      </w:r>
      <w:r w:rsidRPr="00B72BD5">
        <w:rPr>
          <w:sz w:val="22"/>
          <w:szCs w:val="22"/>
          <w:lang w:val="en-ZA"/>
        </w:rPr>
        <w:t xml:space="preserve">(July 2019-March 2020). In this joint work, </w:t>
      </w:r>
      <w:r w:rsidRPr="00B72BD5">
        <w:rPr>
          <w:iCs/>
          <w:sz w:val="22"/>
          <w:szCs w:val="22"/>
          <w:lang w:val="en-ZA"/>
        </w:rPr>
        <w:t>the strategy and broad plans informing this project proposal were developed</w:t>
      </w:r>
      <w:r w:rsidR="00D01197">
        <w:rPr>
          <w:iCs/>
          <w:sz w:val="22"/>
          <w:szCs w:val="22"/>
          <w:lang w:val="en-ZA"/>
        </w:rPr>
        <w:t>.</w:t>
      </w:r>
    </w:p>
    <w:p w14:paraId="6D9B7686" w14:textId="5EC6D851" w:rsidR="00951946" w:rsidRPr="00B72BD5" w:rsidRDefault="00951946" w:rsidP="0039487D">
      <w:pPr>
        <w:ind w:firstLine="357"/>
        <w:rPr>
          <w:noProof/>
          <w:sz w:val="22"/>
          <w:szCs w:val="22"/>
          <w:lang w:val="en-ZA"/>
        </w:rPr>
      </w:pPr>
      <w:r w:rsidRPr="00B72BD5">
        <w:rPr>
          <w:sz w:val="22"/>
          <w:szCs w:val="22"/>
          <w:lang w:val="en-ZA"/>
        </w:rPr>
        <w:t xml:space="preserve">Furthermore, the intervention </w:t>
      </w:r>
      <w:r w:rsidRPr="00B72BD5">
        <w:rPr>
          <w:noProof/>
          <w:sz w:val="22"/>
          <w:szCs w:val="22"/>
          <w:lang w:val="en-ZA"/>
        </w:rPr>
        <w:t>builds on and utilises a range of other PV</w:t>
      </w:r>
      <w:r w:rsidR="00F1525D" w:rsidRPr="00B72BD5">
        <w:rPr>
          <w:noProof/>
          <w:sz w:val="22"/>
          <w:szCs w:val="22"/>
          <w:lang w:val="en-ZA"/>
        </w:rPr>
        <w:t xml:space="preserve"> </w:t>
      </w:r>
      <w:r w:rsidRPr="00B72BD5">
        <w:rPr>
          <w:noProof/>
          <w:sz w:val="22"/>
          <w:szCs w:val="22"/>
          <w:lang w:val="en-ZA"/>
        </w:rPr>
        <w:t xml:space="preserve">experiences: </w:t>
      </w:r>
    </w:p>
    <w:p w14:paraId="001EE09B" w14:textId="77777777" w:rsidR="00951946" w:rsidRPr="00B72BD5" w:rsidRDefault="00951946" w:rsidP="00407190">
      <w:pPr>
        <w:pStyle w:val="ListParagraph"/>
        <w:numPr>
          <w:ilvl w:val="0"/>
          <w:numId w:val="16"/>
        </w:numPr>
        <w:spacing w:after="0" w:line="240" w:lineRule="auto"/>
        <w:rPr>
          <w:noProof/>
          <w:sz w:val="22"/>
          <w:lang w:val="en-ZA"/>
        </w:rPr>
      </w:pPr>
      <w:r w:rsidRPr="00B72BD5">
        <w:rPr>
          <w:noProof/>
          <w:sz w:val="22"/>
          <w:lang w:val="en-ZA"/>
        </w:rPr>
        <w:t xml:space="preserve">PV’s core approach and methodology – strengthening self-efficacy/agency; conscientisation (awaress of self in relation to systems and power) and voice; accompaniment; co-creation and facilitation of change and methods; and mutual learning. </w:t>
      </w:r>
    </w:p>
    <w:p w14:paraId="3B9B3968" w14:textId="77777777" w:rsidR="00951946" w:rsidRPr="00B72BD5" w:rsidRDefault="00951946" w:rsidP="00407190">
      <w:pPr>
        <w:pStyle w:val="ListParagraph"/>
        <w:numPr>
          <w:ilvl w:val="0"/>
          <w:numId w:val="16"/>
        </w:numPr>
        <w:spacing w:after="0" w:line="240" w:lineRule="auto"/>
        <w:rPr>
          <w:noProof/>
          <w:sz w:val="22"/>
          <w:lang w:val="en-ZA"/>
        </w:rPr>
      </w:pPr>
      <w:r w:rsidRPr="00B72BD5">
        <w:rPr>
          <w:noProof/>
          <w:sz w:val="22"/>
          <w:lang w:val="en-ZA"/>
        </w:rPr>
        <w:t>PV’s many years of experience in Namibia working with social movements of PLHIV and LGBT+, its more recent work with Young Women and Girls, and its learnings about how to work effectively in the space between civil society, local governmental agencies and coordination structures.</w:t>
      </w:r>
    </w:p>
    <w:p w14:paraId="4FC8D521" w14:textId="77777777" w:rsidR="00240A1D" w:rsidRDefault="00951946" w:rsidP="00407190">
      <w:pPr>
        <w:pStyle w:val="ListParagraph"/>
        <w:numPr>
          <w:ilvl w:val="0"/>
          <w:numId w:val="16"/>
        </w:numPr>
        <w:spacing w:after="0" w:line="240" w:lineRule="auto"/>
        <w:rPr>
          <w:noProof/>
          <w:sz w:val="22"/>
          <w:lang w:val="en-ZA"/>
        </w:rPr>
      </w:pPr>
      <w:r w:rsidRPr="00B72BD5">
        <w:rPr>
          <w:noProof/>
          <w:sz w:val="22"/>
          <w:lang w:val="en-ZA"/>
        </w:rPr>
        <w:t>PV’s ongoing role</w:t>
      </w:r>
      <w:r w:rsidRPr="00B72BD5">
        <w:rPr>
          <w:sz w:val="22"/>
          <w:lang w:val="en-ZA"/>
        </w:rPr>
        <w:t xml:space="preserve"> in national strategy and policy development processes and other dialogues with government.</w:t>
      </w:r>
    </w:p>
    <w:p w14:paraId="25FEEE8D" w14:textId="77777777" w:rsidR="00E27AD7" w:rsidRPr="00B72BD5" w:rsidRDefault="00E27AD7" w:rsidP="00E27AD7">
      <w:pPr>
        <w:rPr>
          <w:noProof/>
          <w:sz w:val="22"/>
          <w:szCs w:val="22"/>
          <w:lang w:val="en-ZA"/>
        </w:rPr>
      </w:pPr>
    </w:p>
    <w:p w14:paraId="165890D2" w14:textId="355F59A5" w:rsidR="00951946" w:rsidRPr="00B72BD5" w:rsidRDefault="00951946" w:rsidP="00A32DE4">
      <w:pPr>
        <w:rPr>
          <w:noProof/>
          <w:sz w:val="22"/>
          <w:szCs w:val="22"/>
          <w:lang w:val="en-ZA"/>
        </w:rPr>
      </w:pPr>
      <w:r w:rsidRPr="00B72BD5">
        <w:rPr>
          <w:noProof/>
          <w:sz w:val="22"/>
          <w:szCs w:val="22"/>
          <w:lang w:val="en-ZA"/>
        </w:rPr>
        <w:t>In addition to the above, specific experiences and learnings have informed elements of this intervention’s design and the strategic thinking process that preceded it:</w:t>
      </w:r>
    </w:p>
    <w:p w14:paraId="0D75A478" w14:textId="77777777" w:rsidR="00951946" w:rsidRPr="00B72BD5" w:rsidRDefault="00951946" w:rsidP="00407190">
      <w:pPr>
        <w:pStyle w:val="ListParagraph"/>
        <w:numPr>
          <w:ilvl w:val="0"/>
          <w:numId w:val="18"/>
        </w:numPr>
        <w:spacing w:after="0" w:line="240" w:lineRule="auto"/>
        <w:rPr>
          <w:i/>
          <w:iCs/>
          <w:noProof/>
          <w:sz w:val="22"/>
          <w:lang w:val="en-ZA"/>
        </w:rPr>
      </w:pPr>
      <w:r w:rsidRPr="00B72BD5">
        <w:rPr>
          <w:noProof/>
          <w:sz w:val="22"/>
          <w:lang w:val="en-ZA"/>
        </w:rPr>
        <w:t xml:space="preserve">The Learning from Innovation Project in Uganda (a partnership with Hivos, funded by the Dutch Government) </w:t>
      </w:r>
      <w:r w:rsidRPr="00B72BD5">
        <w:rPr>
          <w:i/>
          <w:iCs/>
          <w:noProof/>
          <w:sz w:val="22"/>
          <w:lang w:val="en-ZA"/>
        </w:rPr>
        <w:t>has inspired the community process</w:t>
      </w:r>
      <w:r w:rsidRPr="00B72BD5">
        <w:rPr>
          <w:noProof/>
          <w:sz w:val="22"/>
          <w:lang w:val="en-ZA"/>
        </w:rPr>
        <w:t xml:space="preserve">, in particular the emphasis on dialogue with discrete sub-groups within the community, </w:t>
      </w:r>
      <w:r w:rsidRPr="00B72BD5">
        <w:rPr>
          <w:i/>
          <w:iCs/>
          <w:noProof/>
          <w:sz w:val="22"/>
          <w:lang w:val="en-ZA"/>
        </w:rPr>
        <w:t>the integration of monitoring processes into intervention design</w:t>
      </w:r>
      <w:r w:rsidRPr="00B72BD5">
        <w:rPr>
          <w:noProof/>
          <w:sz w:val="22"/>
          <w:lang w:val="en-ZA"/>
        </w:rPr>
        <w:t xml:space="preserve"> (not as an add-on, but as a core element of the community work); </w:t>
      </w:r>
      <w:r w:rsidRPr="00B72BD5">
        <w:rPr>
          <w:i/>
          <w:iCs/>
          <w:noProof/>
          <w:sz w:val="22"/>
          <w:lang w:val="en-ZA"/>
        </w:rPr>
        <w:t xml:space="preserve">creating spaces (e.g. community dialogues) for marginal voices to be heard and listened to; </w:t>
      </w:r>
      <w:r w:rsidRPr="00B72BD5">
        <w:rPr>
          <w:iCs/>
          <w:noProof/>
          <w:sz w:val="22"/>
          <w:lang w:val="en-ZA"/>
        </w:rPr>
        <w:t>and</w:t>
      </w:r>
      <w:r w:rsidRPr="00B72BD5">
        <w:rPr>
          <w:i/>
          <w:iCs/>
          <w:noProof/>
          <w:sz w:val="22"/>
          <w:lang w:val="en-ZA"/>
        </w:rPr>
        <w:t xml:space="preserve"> the inclusion of a strong emphasis on rights, by including elements of  the  “Sing of Freedom” method.</w:t>
      </w:r>
    </w:p>
    <w:p w14:paraId="75334DB5" w14:textId="77777777" w:rsidR="00951946" w:rsidRPr="00B72BD5" w:rsidRDefault="00951946" w:rsidP="00407190">
      <w:pPr>
        <w:pStyle w:val="ListParagraph"/>
        <w:numPr>
          <w:ilvl w:val="0"/>
          <w:numId w:val="18"/>
        </w:numPr>
        <w:spacing w:after="0" w:line="240" w:lineRule="auto"/>
        <w:rPr>
          <w:noProof/>
          <w:sz w:val="22"/>
          <w:lang w:val="en-ZA"/>
        </w:rPr>
      </w:pPr>
      <w:r w:rsidRPr="00B72BD5">
        <w:rPr>
          <w:noProof/>
          <w:sz w:val="22"/>
          <w:lang w:val="en-ZA"/>
        </w:rPr>
        <w:t xml:space="preserve">The Setting the Levels process inspired </w:t>
      </w:r>
      <w:r w:rsidRPr="00B72BD5">
        <w:rPr>
          <w:i/>
          <w:iCs/>
          <w:noProof/>
          <w:sz w:val="22"/>
          <w:lang w:val="en-ZA"/>
        </w:rPr>
        <w:t xml:space="preserve">the design of the community engagement and monitoring process within this intervention. </w:t>
      </w:r>
      <w:r w:rsidRPr="00B72BD5">
        <w:rPr>
          <w:noProof/>
          <w:sz w:val="22"/>
          <w:lang w:val="en-ZA"/>
        </w:rPr>
        <w:t>The ‘Setting the Levels’ Community Health System monitoring and accountablity process has proved extremely successful at catalysing community and civill society action, building better relationships between community members and duty-bearers, shifting service provider and service user behaviours and attitudes, and increasing accountabliity. Originally developed within KP Connect it has been extensively used and refined within the Bridging the Chasm project in Southern Africa, including Nambia (Amplify Change funding).</w:t>
      </w:r>
    </w:p>
    <w:p w14:paraId="4C3908D9" w14:textId="77777777" w:rsidR="00951946" w:rsidRPr="00B72BD5" w:rsidRDefault="00951946" w:rsidP="00407190">
      <w:pPr>
        <w:pStyle w:val="ListParagraph"/>
        <w:numPr>
          <w:ilvl w:val="0"/>
          <w:numId w:val="18"/>
        </w:numPr>
        <w:spacing w:after="0" w:line="240" w:lineRule="auto"/>
        <w:rPr>
          <w:noProof/>
          <w:sz w:val="22"/>
          <w:lang w:val="en-ZA"/>
        </w:rPr>
      </w:pPr>
      <w:r w:rsidRPr="00B72BD5">
        <w:rPr>
          <w:noProof/>
          <w:sz w:val="22"/>
          <w:lang w:val="en-ZA"/>
        </w:rPr>
        <w:t xml:space="preserve">Work with emerging organisations/movements in Namibia and East Africa (PLHIV and LGBT+) within a wide range of projects has given rise to many experiences which inform </w:t>
      </w:r>
      <w:r w:rsidRPr="00B72BD5">
        <w:rPr>
          <w:i/>
          <w:iCs/>
          <w:noProof/>
          <w:sz w:val="22"/>
          <w:lang w:val="en-ZA"/>
        </w:rPr>
        <w:t>the most effective ways of providing financial support to the work of these kinds of organisations.</w:t>
      </w:r>
      <w:r w:rsidRPr="00B72BD5">
        <w:rPr>
          <w:noProof/>
          <w:sz w:val="22"/>
          <w:lang w:val="en-ZA"/>
        </w:rPr>
        <w:t xml:space="preserve"> Funding will be activity-based, simple to manage and report on, small in size, and combined with close </w:t>
      </w:r>
      <w:r w:rsidRPr="00B72BD5">
        <w:rPr>
          <w:noProof/>
          <w:sz w:val="22"/>
          <w:lang w:val="en-ZA"/>
        </w:rPr>
        <w:lastRenderedPageBreak/>
        <w:t xml:space="preserve">accompaniment. They will allow flexible responses and support to local initiatives aligned to intervention objectives, without placing large administrative burdens on small organisations. </w:t>
      </w:r>
    </w:p>
    <w:p w14:paraId="5A242ADA" w14:textId="77777777" w:rsidR="00254186" w:rsidRPr="00B72BD5" w:rsidRDefault="00254186" w:rsidP="00407190">
      <w:pPr>
        <w:pStyle w:val="ListParagraph"/>
        <w:numPr>
          <w:ilvl w:val="0"/>
          <w:numId w:val="18"/>
        </w:numPr>
        <w:spacing w:after="0" w:line="240" w:lineRule="auto"/>
        <w:rPr>
          <w:noProof/>
          <w:sz w:val="22"/>
          <w:lang w:val="en-ZA"/>
        </w:rPr>
      </w:pPr>
      <w:r w:rsidRPr="00B72BD5">
        <w:rPr>
          <w:noProof/>
          <w:sz w:val="22"/>
          <w:lang w:val="en-ZA"/>
        </w:rPr>
        <w:t xml:space="preserve">PV’s and Spor Media’s experience and approach </w:t>
      </w:r>
      <w:r w:rsidRPr="00B72BD5">
        <w:rPr>
          <w:i/>
          <w:iCs/>
          <w:noProof/>
          <w:sz w:val="22"/>
          <w:lang w:val="en-ZA"/>
        </w:rPr>
        <w:t>to resource mobilisation in adverse conditions</w:t>
      </w:r>
      <w:r w:rsidRPr="00B72BD5">
        <w:rPr>
          <w:noProof/>
          <w:sz w:val="22"/>
          <w:lang w:val="en-ZA"/>
        </w:rPr>
        <w:t xml:space="preserve"> which has assisted PV’s growth since 2007</w:t>
      </w:r>
      <w:r>
        <w:rPr>
          <w:noProof/>
          <w:sz w:val="22"/>
          <w:lang w:val="en-ZA"/>
        </w:rPr>
        <w:t>.</w:t>
      </w:r>
    </w:p>
    <w:p w14:paraId="43153C7B" w14:textId="77777777" w:rsidR="00951946" w:rsidRPr="00B72BD5" w:rsidRDefault="00951946" w:rsidP="00334B32">
      <w:pPr>
        <w:rPr>
          <w:noProof/>
          <w:sz w:val="22"/>
          <w:szCs w:val="22"/>
          <w:lang w:val="en-ZA"/>
        </w:rPr>
      </w:pPr>
    </w:p>
    <w:p w14:paraId="20BE17BF" w14:textId="45D37B09" w:rsidR="00951946" w:rsidRPr="00B72BD5" w:rsidRDefault="00951946" w:rsidP="004B2B87">
      <w:pPr>
        <w:pStyle w:val="Heading3"/>
        <w:rPr>
          <w:lang w:val="en-ZA"/>
        </w:rPr>
      </w:pPr>
      <w:bookmarkStart w:id="44" w:name="_Toc34813961"/>
      <w:bookmarkStart w:id="45" w:name="_Toc113951220"/>
      <w:r w:rsidRPr="00B72BD5">
        <w:rPr>
          <w:lang w:val="en-ZA"/>
        </w:rPr>
        <w:t>Our approach to catalysing change</w:t>
      </w:r>
      <w:bookmarkEnd w:id="44"/>
      <w:bookmarkEnd w:id="45"/>
      <w:r w:rsidRPr="00B72BD5">
        <w:rPr>
          <w:lang w:val="en-ZA"/>
        </w:rPr>
        <w:t xml:space="preserve"> </w:t>
      </w:r>
    </w:p>
    <w:p w14:paraId="41728328" w14:textId="259477B0" w:rsidR="0020745F" w:rsidRPr="003E59F6" w:rsidRDefault="00455426" w:rsidP="0020745F">
      <w:pPr>
        <w:rPr>
          <w:rFonts w:ascii="Calibri" w:eastAsia="Calibri" w:hAnsi="Calibri" w:cs="Calibri"/>
          <w:sz w:val="22"/>
          <w:szCs w:val="22"/>
          <w:lang w:val="en-ZA"/>
        </w:rPr>
      </w:pPr>
      <w:r w:rsidRPr="003E59F6">
        <w:rPr>
          <w:rFonts w:ascii="Calibri" w:eastAsia="Calibri" w:hAnsi="Calibri" w:cs="Calibri"/>
          <w:sz w:val="22"/>
          <w:szCs w:val="22"/>
          <w:lang w:val="en-ZA"/>
        </w:rPr>
        <w:t>Below we out</w:t>
      </w:r>
      <w:r w:rsidR="003E59F6">
        <w:rPr>
          <w:rFonts w:ascii="Calibri" w:eastAsia="Calibri" w:hAnsi="Calibri" w:cs="Calibri"/>
          <w:sz w:val="22"/>
          <w:szCs w:val="22"/>
          <w:lang w:val="en-ZA"/>
        </w:rPr>
        <w:t xml:space="preserve">line broadly the process we will follow in this </w:t>
      </w:r>
      <w:r w:rsidR="00B87A3E">
        <w:rPr>
          <w:rFonts w:ascii="Calibri" w:eastAsia="Calibri" w:hAnsi="Calibri" w:cs="Calibri"/>
          <w:sz w:val="22"/>
          <w:szCs w:val="22"/>
          <w:lang w:val="en-ZA"/>
        </w:rPr>
        <w:t>project</w:t>
      </w:r>
      <w:r w:rsidR="005138AF">
        <w:rPr>
          <w:rFonts w:ascii="Calibri" w:eastAsia="Calibri" w:hAnsi="Calibri" w:cs="Calibri"/>
          <w:sz w:val="22"/>
          <w:szCs w:val="22"/>
          <w:lang w:val="en-ZA"/>
        </w:rPr>
        <w:t xml:space="preserve"> with references to the </w:t>
      </w:r>
      <w:r w:rsidR="009962BF">
        <w:rPr>
          <w:rFonts w:ascii="Calibri" w:eastAsia="Calibri" w:hAnsi="Calibri" w:cs="Calibri"/>
          <w:sz w:val="22"/>
          <w:szCs w:val="22"/>
          <w:lang w:val="en-ZA"/>
        </w:rPr>
        <w:t xml:space="preserve">relevant </w:t>
      </w:r>
      <w:r w:rsidR="005138AF">
        <w:rPr>
          <w:rFonts w:ascii="Calibri" w:eastAsia="Calibri" w:hAnsi="Calibri" w:cs="Calibri"/>
          <w:sz w:val="22"/>
          <w:szCs w:val="22"/>
          <w:lang w:val="en-ZA"/>
        </w:rPr>
        <w:t>elements of the</w:t>
      </w:r>
      <w:r w:rsidR="00561C68">
        <w:rPr>
          <w:rFonts w:ascii="Calibri" w:eastAsia="Calibri" w:hAnsi="Calibri" w:cs="Calibri"/>
          <w:sz w:val="22"/>
          <w:szCs w:val="22"/>
          <w:lang w:val="en-ZA"/>
        </w:rPr>
        <w:t xml:space="preserve"> </w:t>
      </w:r>
      <w:r w:rsidR="00C95E18">
        <w:rPr>
          <w:rFonts w:ascii="Calibri" w:eastAsia="Calibri" w:hAnsi="Calibri" w:cs="Calibri"/>
          <w:sz w:val="22"/>
          <w:szCs w:val="22"/>
          <w:lang w:val="en-ZA"/>
        </w:rPr>
        <w:t>below Log</w:t>
      </w:r>
      <w:r w:rsidR="005138AF">
        <w:rPr>
          <w:rFonts w:ascii="Calibri" w:eastAsia="Calibri" w:hAnsi="Calibri" w:cs="Calibri"/>
          <w:sz w:val="22"/>
          <w:szCs w:val="22"/>
          <w:lang w:val="en-ZA"/>
        </w:rPr>
        <w:t xml:space="preserve"> Frame for the project.</w:t>
      </w:r>
    </w:p>
    <w:p w14:paraId="1416305D" w14:textId="77777777" w:rsidR="0085734E" w:rsidRPr="003B227F" w:rsidRDefault="0085734E" w:rsidP="0085734E">
      <w:pPr>
        <w:rPr>
          <w:b/>
          <w:bCs/>
          <w:sz w:val="22"/>
          <w:szCs w:val="22"/>
          <w:lang w:val="en-ZA"/>
        </w:rPr>
      </w:pPr>
      <w:bookmarkStart w:id="46" w:name="_Toc34813962"/>
      <w:r w:rsidRPr="003B227F">
        <w:rPr>
          <w:b/>
          <w:bCs/>
          <w:sz w:val="22"/>
          <w:szCs w:val="22"/>
          <w:lang w:val="en-ZA"/>
        </w:rPr>
        <w:t>Phase one: Getting fit for purpose</w:t>
      </w:r>
    </w:p>
    <w:p w14:paraId="324A19A2" w14:textId="3BE33500" w:rsidR="0085734E" w:rsidRDefault="005F16D5" w:rsidP="0085734E">
      <w:pPr>
        <w:pStyle w:val="ListParagraph"/>
        <w:numPr>
          <w:ilvl w:val="0"/>
          <w:numId w:val="35"/>
        </w:numPr>
        <w:rPr>
          <w:sz w:val="22"/>
          <w:lang w:val="en-ZA"/>
        </w:rPr>
      </w:pPr>
      <w:r w:rsidRPr="00AF7EF6">
        <w:rPr>
          <w:b/>
          <w:bCs/>
          <w:sz w:val="22"/>
          <w:lang w:val="en-ZA"/>
        </w:rPr>
        <w:t>Start-up</w:t>
      </w:r>
      <w:r w:rsidR="0085734E" w:rsidRPr="00AF7EF6">
        <w:rPr>
          <w:b/>
          <w:bCs/>
          <w:sz w:val="22"/>
          <w:lang w:val="en-ZA"/>
        </w:rPr>
        <w:t xml:space="preserve"> process</w:t>
      </w:r>
      <w:r w:rsidR="0085734E">
        <w:rPr>
          <w:sz w:val="22"/>
          <w:lang w:val="en-ZA"/>
        </w:rPr>
        <w:t xml:space="preserve"> which includes site visits, development of </w:t>
      </w:r>
      <w:r w:rsidR="009962BF">
        <w:rPr>
          <w:sz w:val="22"/>
          <w:lang w:val="en-ZA"/>
        </w:rPr>
        <w:t xml:space="preserve">cooperation </w:t>
      </w:r>
      <w:r w:rsidR="00FE2368">
        <w:rPr>
          <w:sz w:val="22"/>
          <w:lang w:val="en-ZA"/>
        </w:rPr>
        <w:t>agreements, as</w:t>
      </w:r>
      <w:r w:rsidR="0085734E">
        <w:rPr>
          <w:sz w:val="22"/>
          <w:lang w:val="en-ZA"/>
        </w:rPr>
        <w:t xml:space="preserve"> well as</w:t>
      </w:r>
      <w:r w:rsidR="00676097">
        <w:rPr>
          <w:sz w:val="22"/>
          <w:lang w:val="en-ZA"/>
        </w:rPr>
        <w:t xml:space="preserve"> further</w:t>
      </w:r>
      <w:r w:rsidR="0085734E">
        <w:rPr>
          <w:sz w:val="22"/>
          <w:lang w:val="en-ZA"/>
        </w:rPr>
        <w:t xml:space="preserve"> identification of capacity strengthening </w:t>
      </w:r>
      <w:proofErr w:type="gramStart"/>
      <w:r w:rsidR="0085734E">
        <w:rPr>
          <w:sz w:val="22"/>
          <w:lang w:val="en-ZA"/>
        </w:rPr>
        <w:t>needs</w:t>
      </w:r>
      <w:proofErr w:type="gramEnd"/>
      <w:r w:rsidR="0085734E">
        <w:rPr>
          <w:sz w:val="22"/>
          <w:lang w:val="en-ZA"/>
        </w:rPr>
        <w:t xml:space="preserve"> we could possibly respond to</w:t>
      </w:r>
      <w:r w:rsidR="0085734E" w:rsidRPr="00F96A4F">
        <w:rPr>
          <w:sz w:val="22"/>
          <w:lang w:val="en-ZA"/>
        </w:rPr>
        <w:t xml:space="preserve"> </w:t>
      </w:r>
      <w:r w:rsidR="0085734E">
        <w:rPr>
          <w:sz w:val="22"/>
          <w:lang w:val="en-ZA"/>
        </w:rPr>
        <w:t>(Output 1).</w:t>
      </w:r>
    </w:p>
    <w:p w14:paraId="4D944C2F" w14:textId="68B1C4DF" w:rsidR="0085734E" w:rsidRPr="00AF7EF6" w:rsidRDefault="0085734E" w:rsidP="0085734E">
      <w:pPr>
        <w:pStyle w:val="ListParagraph"/>
        <w:numPr>
          <w:ilvl w:val="0"/>
          <w:numId w:val="35"/>
        </w:numPr>
        <w:rPr>
          <w:sz w:val="22"/>
          <w:lang w:val="en-ZA"/>
        </w:rPr>
      </w:pPr>
      <w:r w:rsidRPr="00AF7EF6">
        <w:rPr>
          <w:b/>
          <w:bCs/>
          <w:sz w:val="22"/>
          <w:lang w:val="en-ZA"/>
        </w:rPr>
        <w:t>Training of CSO leaders and facilitators</w:t>
      </w:r>
      <w:r w:rsidRPr="00AF7EF6">
        <w:rPr>
          <w:sz w:val="22"/>
          <w:lang w:val="en-ZA"/>
        </w:rPr>
        <w:t xml:space="preserve"> in concepts and processes pertaining to Civic Participation in Systems Monitoring, Human and SOGIE rights; Training of CSO</w:t>
      </w:r>
      <w:r w:rsidR="00676097">
        <w:rPr>
          <w:sz w:val="22"/>
          <w:lang w:val="en-ZA"/>
        </w:rPr>
        <w:t>s</w:t>
      </w:r>
      <w:r w:rsidRPr="00AF7EF6">
        <w:rPr>
          <w:sz w:val="22"/>
          <w:lang w:val="en-ZA"/>
        </w:rPr>
        <w:t xml:space="preserve"> in advocacy and media</w:t>
      </w:r>
      <w:r>
        <w:rPr>
          <w:sz w:val="22"/>
          <w:lang w:val="en-ZA"/>
        </w:rPr>
        <w:t xml:space="preserve"> (Outputs 2 and 3)</w:t>
      </w:r>
    </w:p>
    <w:p w14:paraId="7BCEA065" w14:textId="60EF5873" w:rsidR="0070714E" w:rsidRDefault="0070714E" w:rsidP="0070714E">
      <w:pPr>
        <w:pStyle w:val="ListParagraph"/>
        <w:numPr>
          <w:ilvl w:val="0"/>
          <w:numId w:val="35"/>
        </w:numPr>
        <w:rPr>
          <w:sz w:val="22"/>
          <w:lang w:val="en-ZA"/>
        </w:rPr>
      </w:pPr>
      <w:r>
        <w:rPr>
          <w:sz w:val="22"/>
          <w:lang w:val="en-ZA"/>
        </w:rPr>
        <w:t xml:space="preserve">Setting up the </w:t>
      </w:r>
      <w:r w:rsidRPr="00F96A4F">
        <w:rPr>
          <w:b/>
          <w:bCs/>
          <w:sz w:val="22"/>
          <w:lang w:val="en-ZA"/>
        </w:rPr>
        <w:t>community-based</w:t>
      </w:r>
      <w:r w:rsidRPr="00C06144">
        <w:rPr>
          <w:b/>
          <w:bCs/>
          <w:sz w:val="22"/>
          <w:lang w:val="en-ZA"/>
        </w:rPr>
        <w:t xml:space="preserve"> M&amp;E system</w:t>
      </w:r>
      <w:r>
        <w:rPr>
          <w:b/>
          <w:bCs/>
          <w:sz w:val="22"/>
          <w:lang w:val="en-ZA"/>
        </w:rPr>
        <w:t xml:space="preserve"> </w:t>
      </w:r>
      <w:r>
        <w:rPr>
          <w:sz w:val="22"/>
          <w:lang w:val="en-ZA"/>
        </w:rPr>
        <w:t>and equip communities with the skills and tools to document activity reach and outcomes, community level HRV documentation, community led systems monitoring, based on need. (Output</w:t>
      </w:r>
      <w:r w:rsidR="00E45029">
        <w:rPr>
          <w:sz w:val="22"/>
          <w:lang w:val="en-ZA"/>
        </w:rPr>
        <w:t>s</w:t>
      </w:r>
      <w:r>
        <w:rPr>
          <w:sz w:val="22"/>
          <w:lang w:val="en-ZA"/>
        </w:rPr>
        <w:t xml:space="preserve"> 1</w:t>
      </w:r>
      <w:r w:rsidR="00E45029">
        <w:rPr>
          <w:sz w:val="22"/>
          <w:lang w:val="en-ZA"/>
        </w:rPr>
        <w:t xml:space="preserve"> to </w:t>
      </w:r>
      <w:r w:rsidR="00032CDE">
        <w:rPr>
          <w:sz w:val="22"/>
          <w:lang w:val="en-ZA"/>
        </w:rPr>
        <w:t>2</w:t>
      </w:r>
      <w:r>
        <w:rPr>
          <w:sz w:val="22"/>
          <w:lang w:val="en-ZA"/>
        </w:rPr>
        <w:t xml:space="preserve">). </w:t>
      </w:r>
    </w:p>
    <w:p w14:paraId="4D3B9525" w14:textId="117CBB32" w:rsidR="0085734E" w:rsidRDefault="0085734E" w:rsidP="0085734E">
      <w:pPr>
        <w:pStyle w:val="ListParagraph"/>
        <w:numPr>
          <w:ilvl w:val="0"/>
          <w:numId w:val="35"/>
        </w:numPr>
        <w:rPr>
          <w:sz w:val="22"/>
          <w:lang w:val="en-ZA"/>
        </w:rPr>
      </w:pPr>
      <w:r w:rsidRPr="00DB2112">
        <w:rPr>
          <w:b/>
          <w:bCs/>
          <w:sz w:val="22"/>
          <w:lang w:val="en-ZA"/>
        </w:rPr>
        <w:t>Fund raising accompaniment</w:t>
      </w:r>
      <w:r w:rsidRPr="00DB2112">
        <w:rPr>
          <w:sz w:val="22"/>
          <w:lang w:val="en-ZA"/>
        </w:rPr>
        <w:t>, through Proposal Development, identification of donors, technical assistance of those partnering with PV in the project</w:t>
      </w:r>
      <w:r>
        <w:rPr>
          <w:sz w:val="22"/>
          <w:lang w:val="en-ZA"/>
        </w:rPr>
        <w:t>.</w:t>
      </w:r>
      <w:r w:rsidRPr="00DB2112">
        <w:rPr>
          <w:sz w:val="22"/>
          <w:lang w:val="en-ZA"/>
        </w:rPr>
        <w:t xml:space="preserve"> This will happen when opportunities arise throughout the project</w:t>
      </w:r>
      <w:r>
        <w:rPr>
          <w:sz w:val="22"/>
          <w:lang w:val="en-ZA"/>
        </w:rPr>
        <w:t xml:space="preserve"> and needs to be needs based and on partner request to increase ownership of the process by partners.</w:t>
      </w:r>
      <w:r w:rsidRPr="00DB2112">
        <w:rPr>
          <w:sz w:val="22"/>
          <w:lang w:val="en-ZA"/>
        </w:rPr>
        <w:t xml:space="preserve"> Based on this</w:t>
      </w:r>
      <w:r w:rsidR="00E11C8B">
        <w:rPr>
          <w:sz w:val="22"/>
          <w:lang w:val="en-ZA"/>
        </w:rPr>
        <w:t xml:space="preserve"> also</w:t>
      </w:r>
      <w:r w:rsidRPr="00DB2112">
        <w:rPr>
          <w:sz w:val="22"/>
          <w:lang w:val="en-ZA"/>
        </w:rPr>
        <w:t xml:space="preserve"> </w:t>
      </w:r>
      <w:r>
        <w:rPr>
          <w:sz w:val="22"/>
          <w:lang w:val="en-ZA"/>
        </w:rPr>
        <w:t>j</w:t>
      </w:r>
      <w:r w:rsidRPr="00DB2112">
        <w:rPr>
          <w:sz w:val="22"/>
          <w:lang w:val="en-ZA"/>
        </w:rPr>
        <w:t xml:space="preserve">oint </w:t>
      </w:r>
      <w:r w:rsidRPr="00DB2112">
        <w:rPr>
          <w:b/>
          <w:bCs/>
          <w:sz w:val="22"/>
          <w:lang w:val="en-ZA"/>
        </w:rPr>
        <w:t>programme development</w:t>
      </w:r>
      <w:r w:rsidRPr="00DB2112">
        <w:rPr>
          <w:sz w:val="22"/>
          <w:lang w:val="en-ZA"/>
        </w:rPr>
        <w:t xml:space="preserve"> where appropriate</w:t>
      </w:r>
      <w:r w:rsidR="008E6B79">
        <w:rPr>
          <w:sz w:val="22"/>
          <w:lang w:val="en-ZA"/>
        </w:rPr>
        <w:t xml:space="preserve">. </w:t>
      </w:r>
      <w:r>
        <w:rPr>
          <w:sz w:val="22"/>
          <w:lang w:val="en-ZA"/>
        </w:rPr>
        <w:t xml:space="preserve">This </w:t>
      </w:r>
      <w:r w:rsidR="008218D7">
        <w:rPr>
          <w:sz w:val="22"/>
          <w:lang w:val="en-ZA"/>
        </w:rPr>
        <w:t xml:space="preserve">area of work </w:t>
      </w:r>
      <w:r>
        <w:rPr>
          <w:sz w:val="22"/>
          <w:lang w:val="en-ZA"/>
        </w:rPr>
        <w:t>will continue throughout the project.</w:t>
      </w:r>
      <w:r w:rsidR="008E6B79" w:rsidRPr="008E6B79">
        <w:rPr>
          <w:sz w:val="22"/>
          <w:lang w:val="en-ZA"/>
        </w:rPr>
        <w:t xml:space="preserve"> </w:t>
      </w:r>
      <w:r w:rsidR="008E6B79">
        <w:rPr>
          <w:sz w:val="22"/>
          <w:lang w:val="en-ZA"/>
        </w:rPr>
        <w:t>(</w:t>
      </w:r>
      <w:r w:rsidR="008E6B79" w:rsidRPr="00DB2112">
        <w:rPr>
          <w:sz w:val="22"/>
          <w:lang w:val="en-ZA"/>
        </w:rPr>
        <w:t>Output 4).</w:t>
      </w:r>
    </w:p>
    <w:p w14:paraId="01D57FC4" w14:textId="77777777" w:rsidR="0085734E" w:rsidRPr="003D63F2" w:rsidRDefault="0085734E" w:rsidP="0085734E">
      <w:pPr>
        <w:ind w:left="360"/>
        <w:rPr>
          <w:sz w:val="22"/>
          <w:lang w:val="en-ZA"/>
        </w:rPr>
      </w:pPr>
    </w:p>
    <w:p w14:paraId="76933514" w14:textId="78FC9609" w:rsidR="0085734E" w:rsidRPr="00F96A4F" w:rsidRDefault="0085734E" w:rsidP="0085734E">
      <w:pPr>
        <w:pStyle w:val="ListParagraph"/>
        <w:numPr>
          <w:ilvl w:val="0"/>
          <w:numId w:val="35"/>
        </w:numPr>
        <w:rPr>
          <w:sz w:val="22"/>
          <w:lang w:val="en-ZA"/>
        </w:rPr>
      </w:pPr>
      <w:r w:rsidRPr="00F96A4F">
        <w:rPr>
          <w:b/>
          <w:bCs/>
          <w:sz w:val="22"/>
          <w:lang w:val="en-ZA"/>
        </w:rPr>
        <w:t>Movement Building</w:t>
      </w:r>
      <w:r w:rsidRPr="00F96A4F">
        <w:rPr>
          <w:sz w:val="22"/>
          <w:lang w:val="en-ZA"/>
        </w:rPr>
        <w:t xml:space="preserve">: Work </w:t>
      </w:r>
      <w:r w:rsidR="00DC7A59">
        <w:rPr>
          <w:sz w:val="22"/>
          <w:lang w:val="en-ZA"/>
        </w:rPr>
        <w:t>through</w:t>
      </w:r>
      <w:r w:rsidRPr="00F96A4F">
        <w:rPr>
          <w:sz w:val="22"/>
          <w:lang w:val="en-ZA"/>
        </w:rPr>
        <w:t xml:space="preserve"> partner networks to identify and facilitate LILO Identity</w:t>
      </w:r>
      <w:r>
        <w:rPr>
          <w:sz w:val="22"/>
          <w:lang w:val="en-ZA"/>
        </w:rPr>
        <w:t xml:space="preserve">, </w:t>
      </w:r>
      <w:r w:rsidRPr="00F96A4F">
        <w:rPr>
          <w:sz w:val="22"/>
          <w:lang w:val="en-ZA"/>
        </w:rPr>
        <w:t xml:space="preserve">LILO Work, Sing of Freedom and other tailored workshops, meetings and activities, </w:t>
      </w:r>
      <w:proofErr w:type="gramStart"/>
      <w:r w:rsidRPr="00F96A4F">
        <w:rPr>
          <w:sz w:val="22"/>
          <w:lang w:val="en-ZA"/>
        </w:rPr>
        <w:t>meetings</w:t>
      </w:r>
      <w:proofErr w:type="gramEnd"/>
      <w:r w:rsidRPr="00F96A4F">
        <w:rPr>
          <w:sz w:val="22"/>
          <w:lang w:val="en-ZA"/>
        </w:rPr>
        <w:t xml:space="preserve"> and activities with potential new and existing LGBT and AYP network members in. Link new players to existing organisations where interested. (Output 5). </w:t>
      </w:r>
      <w:bookmarkStart w:id="47" w:name="_Hlk95988509"/>
      <w:r w:rsidRPr="00F96A4F">
        <w:rPr>
          <w:sz w:val="22"/>
          <w:lang w:val="en-ZA"/>
        </w:rPr>
        <w:t>This will continue throughout the project.</w:t>
      </w:r>
    </w:p>
    <w:bookmarkEnd w:id="47"/>
    <w:p w14:paraId="787A0E8A" w14:textId="77777777" w:rsidR="0085734E" w:rsidRPr="00366166" w:rsidRDefault="0085734E" w:rsidP="0085734E">
      <w:pPr>
        <w:rPr>
          <w:b/>
          <w:bCs/>
          <w:sz w:val="22"/>
          <w:lang w:val="en-ZA"/>
        </w:rPr>
      </w:pPr>
      <w:r w:rsidRPr="00366166">
        <w:rPr>
          <w:b/>
          <w:bCs/>
          <w:sz w:val="22"/>
          <w:lang w:val="en-ZA"/>
        </w:rPr>
        <w:t>Phase two: Actioning Purpose</w:t>
      </w:r>
    </w:p>
    <w:p w14:paraId="7D8CCF1F" w14:textId="77777777" w:rsidR="0085734E" w:rsidRPr="00876E82" w:rsidRDefault="0085734E" w:rsidP="0085734E">
      <w:pPr>
        <w:pStyle w:val="ListParagraph"/>
        <w:numPr>
          <w:ilvl w:val="0"/>
          <w:numId w:val="35"/>
        </w:numPr>
        <w:rPr>
          <w:sz w:val="22"/>
          <w:lang w:val="en-ZA"/>
        </w:rPr>
      </w:pPr>
      <w:r w:rsidRPr="00876E82">
        <w:rPr>
          <w:b/>
          <w:bCs/>
          <w:sz w:val="22"/>
          <w:lang w:val="en-ZA"/>
        </w:rPr>
        <w:t>Advocacy, influence:</w:t>
      </w:r>
      <w:r w:rsidRPr="00876E82">
        <w:rPr>
          <w:sz w:val="22"/>
          <w:lang w:val="en-ZA"/>
        </w:rPr>
        <w:t xml:space="preserve"> Following training and capacity development workshops, through a sub-grant mechanism, partners will be able to implement a range of interventions focused on amplifying community voices and addressing problems faced by AYP, including LGBT+ youth and AGYW. (Output 6).</w:t>
      </w:r>
    </w:p>
    <w:p w14:paraId="1DF2D65E" w14:textId="77777777" w:rsidR="0085734E" w:rsidRPr="00876E82" w:rsidRDefault="0085734E" w:rsidP="0085734E">
      <w:pPr>
        <w:pStyle w:val="ListParagraph"/>
        <w:numPr>
          <w:ilvl w:val="0"/>
          <w:numId w:val="35"/>
        </w:numPr>
        <w:rPr>
          <w:sz w:val="22"/>
          <w:lang w:val="en-ZA"/>
        </w:rPr>
      </w:pPr>
      <w:r w:rsidRPr="00876E82">
        <w:rPr>
          <w:b/>
          <w:bCs/>
          <w:sz w:val="22"/>
          <w:lang w:val="en-ZA"/>
        </w:rPr>
        <w:t>Learning from Doing</w:t>
      </w:r>
      <w:r w:rsidRPr="00876E82">
        <w:rPr>
          <w:sz w:val="22"/>
          <w:lang w:val="en-ZA"/>
        </w:rPr>
        <w:t>: The last step involves internal and external learning processes, the development of learning documents and cross regional partner exchanges to ensure collaborative and community driven learning and integration of learning within not only local response, but also at national level (Output 7).</w:t>
      </w:r>
    </w:p>
    <w:p w14:paraId="0E793601" w14:textId="35F9422F" w:rsidR="00951946" w:rsidRPr="00B72BD5" w:rsidRDefault="00951946" w:rsidP="004B2B87">
      <w:pPr>
        <w:pStyle w:val="Heading3"/>
        <w:rPr>
          <w:lang w:val="en-ZA"/>
        </w:rPr>
      </w:pPr>
      <w:bookmarkStart w:id="48" w:name="_Toc113951221"/>
      <w:r w:rsidRPr="002A7F70">
        <w:rPr>
          <w:lang w:val="en-ZA"/>
        </w:rPr>
        <w:t>Relating our approach and strategy to the development triangle</w:t>
      </w:r>
      <w:bookmarkEnd w:id="46"/>
      <w:bookmarkEnd w:id="48"/>
      <w:r w:rsidRPr="00B72BD5">
        <w:rPr>
          <w:lang w:val="en-ZA"/>
        </w:rPr>
        <w:t xml:space="preserve"> </w:t>
      </w:r>
    </w:p>
    <w:p w14:paraId="3B412CBC" w14:textId="46092F7A" w:rsidR="00D46E14" w:rsidRDefault="00951946" w:rsidP="00334B32">
      <w:pPr>
        <w:rPr>
          <w:noProof/>
          <w:sz w:val="22"/>
          <w:szCs w:val="22"/>
          <w:lang w:val="en-ZA"/>
        </w:rPr>
      </w:pPr>
      <w:r w:rsidRPr="00B72BD5">
        <w:rPr>
          <w:noProof/>
          <w:sz w:val="22"/>
          <w:szCs w:val="22"/>
          <w:lang w:val="en-ZA"/>
        </w:rPr>
        <w:t>The core of this intervention is a community level</w:t>
      </w:r>
      <w:r w:rsidR="00666A3A">
        <w:rPr>
          <w:noProof/>
          <w:sz w:val="22"/>
          <w:szCs w:val="22"/>
          <w:lang w:val="en-ZA"/>
        </w:rPr>
        <w:t xml:space="preserve"> intervention </w:t>
      </w:r>
      <w:r w:rsidR="004C20B5">
        <w:rPr>
          <w:noProof/>
          <w:sz w:val="22"/>
          <w:szCs w:val="22"/>
          <w:lang w:val="en-ZA"/>
        </w:rPr>
        <w:t xml:space="preserve">where initial </w:t>
      </w:r>
      <w:r w:rsidR="004C20B5" w:rsidRPr="0084099D">
        <w:rPr>
          <w:i/>
          <w:iCs/>
          <w:noProof/>
          <w:sz w:val="22"/>
          <w:szCs w:val="22"/>
          <w:lang w:val="en-ZA"/>
        </w:rPr>
        <w:t xml:space="preserve">capacity building support to </w:t>
      </w:r>
      <w:r w:rsidR="005D1922">
        <w:rPr>
          <w:i/>
          <w:iCs/>
          <w:noProof/>
          <w:sz w:val="22"/>
          <w:szCs w:val="22"/>
          <w:lang w:val="en-ZA"/>
        </w:rPr>
        <w:t>5</w:t>
      </w:r>
      <w:r w:rsidR="004C20B5" w:rsidRPr="0084099D">
        <w:rPr>
          <w:i/>
          <w:iCs/>
          <w:noProof/>
          <w:sz w:val="22"/>
          <w:szCs w:val="22"/>
          <w:lang w:val="en-ZA"/>
        </w:rPr>
        <w:t xml:space="preserve"> local CSOs</w:t>
      </w:r>
      <w:r w:rsidR="004C20B5">
        <w:rPr>
          <w:noProof/>
          <w:sz w:val="22"/>
          <w:szCs w:val="22"/>
          <w:lang w:val="en-ZA"/>
        </w:rPr>
        <w:t xml:space="preserve"> creates the basis for </w:t>
      </w:r>
      <w:r w:rsidR="00CD4502" w:rsidRPr="0084099D">
        <w:rPr>
          <w:i/>
          <w:iCs/>
          <w:noProof/>
          <w:sz w:val="22"/>
          <w:szCs w:val="22"/>
          <w:lang w:val="en-ZA"/>
        </w:rPr>
        <w:t>enhanced movement building among their constituency</w:t>
      </w:r>
      <w:r w:rsidR="00D46E14">
        <w:rPr>
          <w:noProof/>
          <w:sz w:val="22"/>
          <w:szCs w:val="22"/>
          <w:lang w:val="en-ZA"/>
        </w:rPr>
        <w:t xml:space="preserve"> and based</w:t>
      </w:r>
      <w:r w:rsidR="00B20BED">
        <w:rPr>
          <w:noProof/>
          <w:sz w:val="22"/>
          <w:szCs w:val="22"/>
          <w:lang w:val="en-ZA"/>
        </w:rPr>
        <w:t xml:space="preserve"> on</w:t>
      </w:r>
      <w:r w:rsidR="00D46E14">
        <w:rPr>
          <w:noProof/>
          <w:sz w:val="22"/>
          <w:szCs w:val="22"/>
          <w:lang w:val="en-ZA"/>
        </w:rPr>
        <w:t xml:space="preserve"> this work</w:t>
      </w:r>
      <w:r w:rsidR="00B358D3">
        <w:rPr>
          <w:noProof/>
          <w:sz w:val="22"/>
          <w:szCs w:val="22"/>
          <w:lang w:val="en-ZA"/>
        </w:rPr>
        <w:t>,</w:t>
      </w:r>
      <w:r w:rsidR="00D46E14">
        <w:rPr>
          <w:noProof/>
          <w:sz w:val="22"/>
          <w:szCs w:val="22"/>
          <w:lang w:val="en-ZA"/>
        </w:rPr>
        <w:t xml:space="preserve"> they will carry out </w:t>
      </w:r>
      <w:r w:rsidR="00D46E14" w:rsidRPr="0084099D">
        <w:rPr>
          <w:i/>
          <w:iCs/>
          <w:noProof/>
          <w:sz w:val="22"/>
          <w:szCs w:val="22"/>
          <w:lang w:val="en-ZA"/>
        </w:rPr>
        <w:t>a range of local level advocacy activities</w:t>
      </w:r>
      <w:r w:rsidR="00D46E14">
        <w:rPr>
          <w:noProof/>
          <w:sz w:val="22"/>
          <w:szCs w:val="22"/>
          <w:lang w:val="en-ZA"/>
        </w:rPr>
        <w:t>.</w:t>
      </w:r>
      <w:r w:rsidR="00B61008">
        <w:rPr>
          <w:noProof/>
          <w:sz w:val="22"/>
          <w:szCs w:val="22"/>
          <w:lang w:val="en-ZA"/>
        </w:rPr>
        <w:t xml:space="preserve"> </w:t>
      </w:r>
      <w:r w:rsidR="00FD06CE">
        <w:rPr>
          <w:noProof/>
          <w:sz w:val="22"/>
          <w:szCs w:val="22"/>
          <w:lang w:val="en-ZA"/>
        </w:rPr>
        <w:t xml:space="preserve">In relation to the development triangle </w:t>
      </w:r>
      <w:r w:rsidR="002A0D76">
        <w:rPr>
          <w:noProof/>
          <w:sz w:val="22"/>
          <w:szCs w:val="22"/>
          <w:lang w:val="en-ZA"/>
        </w:rPr>
        <w:t xml:space="preserve">this work is positioned on the axis </w:t>
      </w:r>
      <w:r w:rsidR="00377710">
        <w:rPr>
          <w:noProof/>
          <w:sz w:val="22"/>
          <w:szCs w:val="22"/>
          <w:lang w:val="en-ZA"/>
        </w:rPr>
        <w:t xml:space="preserve">between Organisational Capacity and </w:t>
      </w:r>
      <w:r w:rsidR="00B20BED">
        <w:rPr>
          <w:noProof/>
          <w:sz w:val="22"/>
          <w:szCs w:val="22"/>
          <w:lang w:val="en-ZA"/>
        </w:rPr>
        <w:t>Advocacy</w:t>
      </w:r>
      <w:r w:rsidR="00747621">
        <w:rPr>
          <w:noProof/>
          <w:sz w:val="22"/>
          <w:szCs w:val="22"/>
          <w:lang w:val="en-ZA"/>
        </w:rPr>
        <w:t>, moving from capacity building t</w:t>
      </w:r>
      <w:r w:rsidR="00852DF6">
        <w:rPr>
          <w:noProof/>
          <w:sz w:val="22"/>
          <w:szCs w:val="22"/>
          <w:lang w:val="en-ZA"/>
        </w:rPr>
        <w:t>hrough to advocacy.</w:t>
      </w:r>
    </w:p>
    <w:p w14:paraId="1516ED81" w14:textId="595FF93F" w:rsidR="00852DF6" w:rsidRPr="002C7D8B" w:rsidRDefault="00FE72A0" w:rsidP="00852DF6">
      <w:pPr>
        <w:ind w:firstLine="357"/>
        <w:rPr>
          <w:noProof/>
          <w:sz w:val="22"/>
          <w:szCs w:val="22"/>
          <w:lang w:val="en-ZA"/>
        </w:rPr>
      </w:pPr>
      <w:r>
        <w:rPr>
          <w:noProof/>
          <w:sz w:val="22"/>
          <w:szCs w:val="22"/>
          <w:lang w:val="en-ZA"/>
        </w:rPr>
        <w:lastRenderedPageBreak/>
        <w:t xml:space="preserve">In </w:t>
      </w:r>
      <w:r w:rsidR="00471C7C">
        <w:rPr>
          <w:noProof/>
          <w:sz w:val="22"/>
          <w:szCs w:val="22"/>
          <w:lang w:val="en-ZA"/>
        </w:rPr>
        <w:t>most of</w:t>
      </w:r>
      <w:r>
        <w:rPr>
          <w:noProof/>
          <w:sz w:val="22"/>
          <w:szCs w:val="22"/>
          <w:lang w:val="en-ZA"/>
        </w:rPr>
        <w:t xml:space="preserve"> the communities </w:t>
      </w:r>
      <w:r w:rsidR="00FF4432" w:rsidRPr="00BF217C">
        <w:rPr>
          <w:noProof/>
          <w:sz w:val="22"/>
          <w:szCs w:val="22"/>
          <w:lang w:val="en-ZA"/>
        </w:rPr>
        <w:t>covered with this project, PV in collaboration with the involved partners</w:t>
      </w:r>
      <w:r w:rsidR="00C43DCB" w:rsidRPr="00BF217C">
        <w:rPr>
          <w:noProof/>
          <w:sz w:val="22"/>
          <w:szCs w:val="22"/>
          <w:lang w:val="en-ZA"/>
        </w:rPr>
        <w:t xml:space="preserve"> are involved in parallel activities </w:t>
      </w:r>
      <w:r w:rsidR="00557399" w:rsidRPr="00BF217C">
        <w:rPr>
          <w:noProof/>
          <w:sz w:val="22"/>
          <w:szCs w:val="22"/>
          <w:lang w:val="en-ZA"/>
        </w:rPr>
        <w:t>funded by the Global Fund</w:t>
      </w:r>
      <w:r w:rsidR="0061572F" w:rsidRPr="00BF217C">
        <w:rPr>
          <w:noProof/>
          <w:sz w:val="22"/>
          <w:szCs w:val="22"/>
          <w:lang w:val="en-ZA"/>
        </w:rPr>
        <w:t xml:space="preserve"> and other donors</w:t>
      </w:r>
      <w:r w:rsidR="00557399" w:rsidRPr="00BF217C">
        <w:rPr>
          <w:noProof/>
          <w:sz w:val="22"/>
          <w:szCs w:val="22"/>
          <w:lang w:val="en-ZA"/>
        </w:rPr>
        <w:t xml:space="preserve"> that</w:t>
      </w:r>
      <w:r w:rsidR="00F449BD" w:rsidRPr="00BF217C">
        <w:rPr>
          <w:noProof/>
          <w:sz w:val="22"/>
          <w:szCs w:val="22"/>
          <w:lang w:val="en-ZA"/>
        </w:rPr>
        <w:t xml:space="preserve"> partly </w:t>
      </w:r>
      <w:r w:rsidR="00557399" w:rsidRPr="00BF217C">
        <w:rPr>
          <w:noProof/>
          <w:sz w:val="22"/>
          <w:szCs w:val="22"/>
          <w:lang w:val="en-ZA"/>
        </w:rPr>
        <w:t xml:space="preserve"> </w:t>
      </w:r>
      <w:r w:rsidR="00955494" w:rsidRPr="00BF217C">
        <w:rPr>
          <w:noProof/>
          <w:sz w:val="22"/>
          <w:szCs w:val="22"/>
          <w:lang w:val="en-ZA"/>
        </w:rPr>
        <w:t xml:space="preserve">falls in the category of </w:t>
      </w:r>
      <w:r w:rsidR="00955494" w:rsidRPr="002D7F3B">
        <w:rPr>
          <w:i/>
          <w:iCs/>
          <w:noProof/>
          <w:sz w:val="22"/>
          <w:szCs w:val="22"/>
          <w:lang w:val="en-ZA"/>
        </w:rPr>
        <w:t>strategic deliveries</w:t>
      </w:r>
      <w:r w:rsidR="00890280" w:rsidRPr="00BF217C">
        <w:rPr>
          <w:noProof/>
          <w:sz w:val="22"/>
          <w:szCs w:val="22"/>
          <w:lang w:val="en-ZA"/>
        </w:rPr>
        <w:t xml:space="preserve"> to the target groups</w:t>
      </w:r>
      <w:r w:rsidR="00955494" w:rsidRPr="00BF217C">
        <w:rPr>
          <w:noProof/>
          <w:sz w:val="22"/>
          <w:szCs w:val="22"/>
          <w:lang w:val="en-ZA"/>
        </w:rPr>
        <w:t xml:space="preserve"> (e.g.</w:t>
      </w:r>
      <w:r w:rsidR="0061572F" w:rsidRPr="00BF217C">
        <w:rPr>
          <w:noProof/>
          <w:sz w:val="22"/>
          <w:szCs w:val="22"/>
          <w:lang w:val="en-ZA"/>
        </w:rPr>
        <w:t xml:space="preserve"> distribution of </w:t>
      </w:r>
      <w:r w:rsidR="004817DE" w:rsidRPr="00BF217C">
        <w:rPr>
          <w:noProof/>
          <w:sz w:val="22"/>
          <w:szCs w:val="22"/>
          <w:lang w:val="en-ZA"/>
        </w:rPr>
        <w:t xml:space="preserve"> Covid</w:t>
      </w:r>
      <w:r w:rsidR="00890280" w:rsidRPr="00BF217C">
        <w:rPr>
          <w:noProof/>
          <w:sz w:val="22"/>
          <w:szCs w:val="22"/>
          <w:lang w:val="en-ZA"/>
        </w:rPr>
        <w:t xml:space="preserve"> well being packages, referral to health </w:t>
      </w:r>
      <w:r w:rsidR="0032437B" w:rsidRPr="00BF217C">
        <w:rPr>
          <w:noProof/>
          <w:sz w:val="22"/>
          <w:szCs w:val="22"/>
          <w:lang w:val="en-ZA"/>
        </w:rPr>
        <w:t>and other a</w:t>
      </w:r>
      <w:r w:rsidR="00890280" w:rsidRPr="00BF217C">
        <w:rPr>
          <w:noProof/>
          <w:sz w:val="22"/>
          <w:szCs w:val="22"/>
          <w:lang w:val="en-ZA"/>
        </w:rPr>
        <w:t>services</w:t>
      </w:r>
      <w:r w:rsidR="006E493C" w:rsidRPr="00BF217C">
        <w:rPr>
          <w:noProof/>
          <w:sz w:val="22"/>
          <w:szCs w:val="22"/>
          <w:lang w:val="en-ZA"/>
        </w:rPr>
        <w:t>, support via a rapid response fund to victims of G</w:t>
      </w:r>
      <w:r w:rsidR="0032437B" w:rsidRPr="00BF217C">
        <w:rPr>
          <w:noProof/>
          <w:sz w:val="22"/>
          <w:szCs w:val="22"/>
          <w:lang w:val="en-ZA"/>
        </w:rPr>
        <w:t>BV</w:t>
      </w:r>
      <w:r w:rsidR="00BF217C" w:rsidRPr="00BF217C">
        <w:rPr>
          <w:noProof/>
          <w:sz w:val="22"/>
          <w:szCs w:val="22"/>
          <w:lang w:val="en-ZA"/>
        </w:rPr>
        <w:t>, access to councelling etc</w:t>
      </w:r>
      <w:r w:rsidR="00955494" w:rsidRPr="00BF217C">
        <w:rPr>
          <w:noProof/>
          <w:sz w:val="22"/>
          <w:szCs w:val="22"/>
          <w:lang w:val="en-ZA"/>
        </w:rPr>
        <w:t>)</w:t>
      </w:r>
      <w:r w:rsidR="00540086" w:rsidRPr="00BF217C">
        <w:rPr>
          <w:noProof/>
          <w:sz w:val="22"/>
          <w:szCs w:val="22"/>
          <w:lang w:val="en-ZA"/>
        </w:rPr>
        <w:t xml:space="preserve"> and which enhances the</w:t>
      </w:r>
      <w:r w:rsidR="00AE4E09" w:rsidRPr="00BF217C">
        <w:rPr>
          <w:noProof/>
          <w:sz w:val="22"/>
          <w:szCs w:val="22"/>
          <w:lang w:val="en-ZA"/>
        </w:rPr>
        <w:t xml:space="preserve"> credibility of the partner organisations within their constituency</w:t>
      </w:r>
      <w:r w:rsidR="005B7729" w:rsidRPr="00BF217C">
        <w:rPr>
          <w:noProof/>
          <w:sz w:val="22"/>
          <w:szCs w:val="22"/>
          <w:lang w:val="en-ZA"/>
        </w:rPr>
        <w:t xml:space="preserve"> and </w:t>
      </w:r>
      <w:r w:rsidR="00C71170" w:rsidRPr="00BF217C">
        <w:rPr>
          <w:noProof/>
          <w:sz w:val="22"/>
          <w:szCs w:val="22"/>
          <w:lang w:val="en-ZA"/>
        </w:rPr>
        <w:t>creates a positive climate for the present project.</w:t>
      </w:r>
      <w:r w:rsidR="002C7D8B" w:rsidRPr="002C7D8B">
        <w:rPr>
          <w:lang w:val="en-ZA"/>
        </w:rPr>
        <w:t xml:space="preserve"> </w:t>
      </w:r>
    </w:p>
    <w:p w14:paraId="084E0156" w14:textId="77777777" w:rsidR="00D46E14" w:rsidRDefault="00D46E14" w:rsidP="00334B32">
      <w:pPr>
        <w:rPr>
          <w:noProof/>
          <w:sz w:val="22"/>
          <w:szCs w:val="22"/>
          <w:lang w:val="en-ZA"/>
        </w:rPr>
      </w:pPr>
    </w:p>
    <w:p w14:paraId="5BD9FF53" w14:textId="77777777" w:rsidR="008A440D" w:rsidRPr="00B72BD5" w:rsidRDefault="008A440D" w:rsidP="007447C7">
      <w:pPr>
        <w:pStyle w:val="Heading3"/>
        <w:rPr>
          <w:lang w:val="en-ZA"/>
        </w:rPr>
      </w:pPr>
      <w:bookmarkStart w:id="49" w:name="_Toc34813965"/>
      <w:bookmarkStart w:id="50" w:name="_Toc113951222"/>
      <w:r w:rsidRPr="00712B68">
        <w:rPr>
          <w:lang w:val="en-ZA"/>
        </w:rPr>
        <w:t>Methods to support the process</w:t>
      </w:r>
      <w:bookmarkEnd w:id="49"/>
      <w:bookmarkEnd w:id="50"/>
      <w:r w:rsidRPr="00B72BD5">
        <w:rPr>
          <w:lang w:val="en-ZA"/>
        </w:rPr>
        <w:t xml:space="preserve"> </w:t>
      </w:r>
    </w:p>
    <w:p w14:paraId="5524E918" w14:textId="77777777" w:rsidR="008A440D" w:rsidRPr="00B72BD5" w:rsidRDefault="008A440D" w:rsidP="001B14DD">
      <w:pPr>
        <w:rPr>
          <w:sz w:val="22"/>
          <w:szCs w:val="22"/>
          <w:lang w:val="en-US"/>
        </w:rPr>
      </w:pPr>
      <w:r w:rsidRPr="00B72BD5">
        <w:rPr>
          <w:sz w:val="22"/>
          <w:szCs w:val="22"/>
          <w:lang w:val="en-US"/>
        </w:rPr>
        <w:t xml:space="preserve">PV employs the following approach to advocacy: </w:t>
      </w:r>
    </w:p>
    <w:p w14:paraId="040F24AD" w14:textId="77777777" w:rsidR="008A440D" w:rsidRPr="00B72BD5" w:rsidRDefault="008A440D" w:rsidP="00407190">
      <w:pPr>
        <w:numPr>
          <w:ilvl w:val="0"/>
          <w:numId w:val="20"/>
        </w:numPr>
        <w:rPr>
          <w:sz w:val="22"/>
          <w:szCs w:val="22"/>
          <w:lang w:val="en-US"/>
        </w:rPr>
      </w:pPr>
      <w:r w:rsidRPr="00B72BD5">
        <w:rPr>
          <w:sz w:val="22"/>
          <w:szCs w:val="22"/>
          <w:lang w:val="en-US"/>
        </w:rPr>
        <w:t xml:space="preserve">Strategic advocacy is informed by community voices and experience, through intervention pilots, specific research activities, and strong MEL systems. </w:t>
      </w:r>
    </w:p>
    <w:p w14:paraId="53FEA3FD" w14:textId="05C5E277" w:rsidR="008A440D" w:rsidRPr="00B72BD5" w:rsidRDefault="008A440D" w:rsidP="00407190">
      <w:pPr>
        <w:numPr>
          <w:ilvl w:val="0"/>
          <w:numId w:val="20"/>
        </w:numPr>
        <w:rPr>
          <w:sz w:val="22"/>
          <w:szCs w:val="22"/>
          <w:lang w:val="en-US"/>
        </w:rPr>
      </w:pPr>
      <w:r w:rsidRPr="00B72BD5">
        <w:rPr>
          <w:sz w:val="22"/>
          <w:szCs w:val="22"/>
          <w:lang w:val="en-US"/>
        </w:rPr>
        <w:t xml:space="preserve">A strong focus on community-level advocacy first. Changing government policies and practice is important, but ‘othering’ and </w:t>
      </w:r>
      <w:r w:rsidR="002A7F70" w:rsidRPr="00B72BD5">
        <w:rPr>
          <w:sz w:val="22"/>
          <w:szCs w:val="22"/>
          <w:lang w:val="en-US"/>
        </w:rPr>
        <w:t>stigmatization</w:t>
      </w:r>
      <w:r w:rsidRPr="00B72BD5">
        <w:rPr>
          <w:sz w:val="22"/>
          <w:szCs w:val="22"/>
          <w:lang w:val="en-US"/>
        </w:rPr>
        <w:t xml:space="preserve"> of </w:t>
      </w:r>
      <w:r w:rsidR="002A7F70" w:rsidRPr="00B72BD5">
        <w:rPr>
          <w:sz w:val="22"/>
          <w:szCs w:val="22"/>
          <w:lang w:val="en-US"/>
        </w:rPr>
        <w:t>marginalized</w:t>
      </w:r>
      <w:r w:rsidRPr="00B72BD5">
        <w:rPr>
          <w:sz w:val="22"/>
          <w:szCs w:val="22"/>
          <w:lang w:val="en-US"/>
        </w:rPr>
        <w:t xml:space="preserve"> groups such as LGBT+ is essentially a societal/community level problem and needs to be addressed at that level.</w:t>
      </w:r>
    </w:p>
    <w:p w14:paraId="6AE60204" w14:textId="2C8A2B29" w:rsidR="008A440D" w:rsidRPr="00B72BD5" w:rsidRDefault="008A440D" w:rsidP="00407190">
      <w:pPr>
        <w:numPr>
          <w:ilvl w:val="0"/>
          <w:numId w:val="19"/>
        </w:numPr>
        <w:rPr>
          <w:sz w:val="22"/>
          <w:szCs w:val="22"/>
          <w:lang w:val="en-US"/>
        </w:rPr>
      </w:pPr>
      <w:r w:rsidRPr="00B72BD5">
        <w:rPr>
          <w:sz w:val="22"/>
          <w:szCs w:val="22"/>
          <w:lang w:val="en-US"/>
        </w:rPr>
        <w:t>The application of methods that build empathy (</w:t>
      </w:r>
      <w:proofErr w:type="gramStart"/>
      <w:r w:rsidRPr="00B72BD5">
        <w:rPr>
          <w:sz w:val="22"/>
          <w:szCs w:val="22"/>
          <w:lang w:val="en-US"/>
        </w:rPr>
        <w:t>e.g.</w:t>
      </w:r>
      <w:proofErr w:type="gramEnd"/>
      <w:r w:rsidRPr="00B72BD5">
        <w:rPr>
          <w:sz w:val="22"/>
          <w:szCs w:val="22"/>
          <w:lang w:val="en-US"/>
        </w:rPr>
        <w:t xml:space="preserve"> </w:t>
      </w:r>
      <w:r w:rsidR="00A40817">
        <w:rPr>
          <w:sz w:val="22"/>
          <w:szCs w:val="22"/>
          <w:lang w:val="en-US"/>
        </w:rPr>
        <w:t>the LILO methods</w:t>
      </w:r>
      <w:r w:rsidRPr="00B72BD5">
        <w:rPr>
          <w:sz w:val="22"/>
          <w:szCs w:val="22"/>
          <w:lang w:val="en-US"/>
        </w:rPr>
        <w:t>), in combination with methods that facilitate community-based monitoring and response mechanisms (e.g. the community-based monitoring to be built into this intervention</w:t>
      </w:r>
      <w:r w:rsidR="008514FA">
        <w:rPr>
          <w:sz w:val="22"/>
          <w:szCs w:val="22"/>
          <w:lang w:val="en-US"/>
        </w:rPr>
        <w:t xml:space="preserve"> (Setting the Levels</w:t>
      </w:r>
      <w:r w:rsidR="00BC1640">
        <w:rPr>
          <w:sz w:val="22"/>
          <w:szCs w:val="22"/>
          <w:lang w:val="en-US"/>
        </w:rPr>
        <w:t>)</w:t>
      </w:r>
      <w:r w:rsidRPr="00B72BD5">
        <w:rPr>
          <w:sz w:val="22"/>
          <w:szCs w:val="22"/>
          <w:lang w:val="en-US"/>
        </w:rPr>
        <w:t xml:space="preserve">), foster connection within and between various groups and can shift oppositional relationships towards more constructive ones. </w:t>
      </w:r>
    </w:p>
    <w:p w14:paraId="2C744D18" w14:textId="7F94D3E8" w:rsidR="008A440D" w:rsidRPr="00B72BD5" w:rsidRDefault="008A440D" w:rsidP="001B14DD">
      <w:pPr>
        <w:ind w:firstLine="357"/>
        <w:rPr>
          <w:b/>
          <w:bCs/>
          <w:sz w:val="22"/>
          <w:szCs w:val="22"/>
          <w:lang w:val="en-ZA"/>
        </w:rPr>
      </w:pPr>
      <w:r w:rsidRPr="00B72BD5">
        <w:rPr>
          <w:sz w:val="22"/>
          <w:szCs w:val="22"/>
          <w:lang w:val="en-ZA"/>
        </w:rPr>
        <w:t xml:space="preserve">The additional methods listed below to </w:t>
      </w:r>
      <w:r w:rsidR="00BC1640">
        <w:rPr>
          <w:sz w:val="22"/>
          <w:szCs w:val="22"/>
          <w:lang w:val="en-ZA"/>
        </w:rPr>
        <w:t xml:space="preserve">potentially </w:t>
      </w:r>
      <w:r w:rsidRPr="00B72BD5">
        <w:rPr>
          <w:sz w:val="22"/>
          <w:szCs w:val="22"/>
          <w:lang w:val="en-ZA"/>
        </w:rPr>
        <w:t xml:space="preserve">be used in this intervention have different purposes: LILO Inclusion is an effective </w:t>
      </w:r>
      <w:r w:rsidRPr="00B72BD5">
        <w:rPr>
          <w:b/>
          <w:bCs/>
          <w:sz w:val="22"/>
          <w:szCs w:val="22"/>
          <w:lang w:val="en-ZA"/>
        </w:rPr>
        <w:t>advocacy tool</w:t>
      </w:r>
      <w:r w:rsidRPr="00B72BD5">
        <w:rPr>
          <w:sz w:val="22"/>
          <w:szCs w:val="22"/>
          <w:lang w:val="en-ZA"/>
        </w:rPr>
        <w:t xml:space="preserve"> addressing community leaders, </w:t>
      </w:r>
      <w:r w:rsidR="00F87F9F" w:rsidRPr="00B72BD5">
        <w:rPr>
          <w:sz w:val="22"/>
          <w:szCs w:val="22"/>
          <w:lang w:val="en-ZA"/>
        </w:rPr>
        <w:t>CSO’s and</w:t>
      </w:r>
      <w:r w:rsidRPr="00B72BD5">
        <w:rPr>
          <w:sz w:val="22"/>
          <w:szCs w:val="22"/>
          <w:lang w:val="en-ZA"/>
        </w:rPr>
        <w:t xml:space="preserve"> duty bearers; LILO Identity, </w:t>
      </w:r>
      <w:r w:rsidR="00D05195">
        <w:rPr>
          <w:sz w:val="22"/>
          <w:szCs w:val="22"/>
          <w:lang w:val="en-ZA"/>
        </w:rPr>
        <w:t>S</w:t>
      </w:r>
      <w:r w:rsidR="00F87F9F">
        <w:rPr>
          <w:sz w:val="22"/>
          <w:szCs w:val="22"/>
          <w:lang w:val="en-ZA"/>
        </w:rPr>
        <w:t>i</w:t>
      </w:r>
      <w:r w:rsidR="00D05195">
        <w:rPr>
          <w:sz w:val="22"/>
          <w:szCs w:val="22"/>
          <w:lang w:val="en-ZA"/>
        </w:rPr>
        <w:t xml:space="preserve">ng of Freedom </w:t>
      </w:r>
      <w:r w:rsidR="000C3310">
        <w:rPr>
          <w:sz w:val="22"/>
          <w:szCs w:val="22"/>
          <w:lang w:val="en-ZA"/>
        </w:rPr>
        <w:t>(new version for young women)</w:t>
      </w:r>
      <w:r w:rsidRPr="00B72BD5">
        <w:rPr>
          <w:sz w:val="22"/>
          <w:szCs w:val="22"/>
          <w:lang w:val="en-ZA"/>
        </w:rPr>
        <w:t xml:space="preserve"> and LILO Work </w:t>
      </w:r>
      <w:r w:rsidRPr="00B72BD5">
        <w:rPr>
          <w:b/>
          <w:bCs/>
          <w:sz w:val="22"/>
          <w:szCs w:val="22"/>
          <w:lang w:val="en-ZA"/>
        </w:rPr>
        <w:t>are aimed</w:t>
      </w:r>
      <w:r w:rsidR="00E94373" w:rsidRPr="00B72BD5">
        <w:rPr>
          <w:b/>
          <w:bCs/>
          <w:sz w:val="22"/>
          <w:szCs w:val="22"/>
          <w:lang w:val="en-ZA"/>
        </w:rPr>
        <w:t xml:space="preserve"> </w:t>
      </w:r>
      <w:r w:rsidRPr="00B72BD5">
        <w:rPr>
          <w:b/>
          <w:bCs/>
          <w:sz w:val="22"/>
          <w:szCs w:val="22"/>
          <w:lang w:val="en-ZA"/>
        </w:rPr>
        <w:t>directly at the</w:t>
      </w:r>
      <w:r w:rsidR="00331365" w:rsidRPr="00B72BD5">
        <w:rPr>
          <w:b/>
          <w:bCs/>
          <w:sz w:val="22"/>
          <w:szCs w:val="22"/>
          <w:lang w:val="en-ZA"/>
        </w:rPr>
        <w:t>ir respective</w:t>
      </w:r>
      <w:r w:rsidRPr="00B72BD5">
        <w:rPr>
          <w:b/>
          <w:bCs/>
          <w:sz w:val="22"/>
          <w:szCs w:val="22"/>
          <w:lang w:val="en-ZA"/>
        </w:rPr>
        <w:t xml:space="preserve"> target groups </w:t>
      </w:r>
      <w:r w:rsidRPr="00B72BD5">
        <w:rPr>
          <w:sz w:val="22"/>
          <w:szCs w:val="22"/>
          <w:lang w:val="en-ZA"/>
        </w:rPr>
        <w:t>(LGBT+, women, and sex workers respectively)</w:t>
      </w:r>
      <w:r w:rsidRPr="00B72BD5">
        <w:rPr>
          <w:b/>
          <w:bCs/>
          <w:sz w:val="22"/>
          <w:szCs w:val="22"/>
          <w:lang w:val="en-ZA"/>
        </w:rPr>
        <w:t xml:space="preserve"> and catalyse the creation </w:t>
      </w:r>
      <w:proofErr w:type="gramStart"/>
      <w:r w:rsidRPr="00B72BD5">
        <w:rPr>
          <w:b/>
          <w:bCs/>
          <w:sz w:val="22"/>
          <w:szCs w:val="22"/>
          <w:lang w:val="en-ZA"/>
        </w:rPr>
        <w:t>of  agency</w:t>
      </w:r>
      <w:proofErr w:type="gramEnd"/>
      <w:r w:rsidRPr="00B72BD5">
        <w:rPr>
          <w:b/>
          <w:bCs/>
          <w:sz w:val="22"/>
          <w:szCs w:val="22"/>
          <w:lang w:val="en-ZA"/>
        </w:rPr>
        <w:t xml:space="preserve"> and voice as a foundation for movement building</w:t>
      </w:r>
      <w:r w:rsidR="000E25C0">
        <w:rPr>
          <w:b/>
          <w:bCs/>
          <w:sz w:val="22"/>
          <w:szCs w:val="22"/>
          <w:lang w:val="en-ZA"/>
        </w:rPr>
        <w:t>.</w:t>
      </w:r>
    </w:p>
    <w:p w14:paraId="17314A22" w14:textId="6AD4657B" w:rsidR="008A440D" w:rsidRPr="00B72BD5" w:rsidRDefault="008A440D" w:rsidP="001A6046">
      <w:pPr>
        <w:ind w:firstLine="357"/>
        <w:rPr>
          <w:sz w:val="22"/>
          <w:szCs w:val="22"/>
          <w:lang w:val="en-ZA"/>
        </w:rPr>
      </w:pPr>
      <w:r w:rsidRPr="00B72BD5">
        <w:rPr>
          <w:b/>
          <w:sz w:val="22"/>
          <w:szCs w:val="22"/>
          <w:lang w:val="en-ZA"/>
        </w:rPr>
        <w:t>LILO Inclusion:</w:t>
      </w:r>
      <w:r w:rsidRPr="00B72BD5">
        <w:rPr>
          <w:sz w:val="22"/>
          <w:szCs w:val="22"/>
          <w:lang w:val="en-ZA"/>
        </w:rPr>
        <w:t xml:space="preserve"> a workshop process to contribute to shifts in gender equality and address the marginalisation and exclusion of groups on the social fringe </w:t>
      </w:r>
    </w:p>
    <w:p w14:paraId="58F5C2E2" w14:textId="2D2F1B60" w:rsidR="008A440D" w:rsidRPr="00B72BD5" w:rsidRDefault="008A440D" w:rsidP="001A6046">
      <w:pPr>
        <w:ind w:firstLine="357"/>
        <w:rPr>
          <w:sz w:val="22"/>
          <w:szCs w:val="22"/>
          <w:lang w:val="en-ZA"/>
        </w:rPr>
      </w:pPr>
      <w:r w:rsidRPr="00B72BD5">
        <w:rPr>
          <w:b/>
          <w:sz w:val="22"/>
          <w:szCs w:val="22"/>
          <w:lang w:val="en-ZA"/>
        </w:rPr>
        <w:t xml:space="preserve">LILO Identity: </w:t>
      </w:r>
      <w:r w:rsidRPr="00B72BD5">
        <w:rPr>
          <w:sz w:val="22"/>
          <w:szCs w:val="22"/>
          <w:lang w:val="en-ZA"/>
        </w:rPr>
        <w:t>a personalised approach to exploring gender identity and sexual orientation. The workshop responds to high levels of self-stigma in LGBT+ people, working therapeutically with individuals to raise awareness of the self, to reclaim and reframe personal narrative, and promote self-acceptance of sexual orientation, gender identity and expression.</w:t>
      </w:r>
    </w:p>
    <w:p w14:paraId="67422B58" w14:textId="47023801" w:rsidR="008A440D" w:rsidRPr="00B72BD5" w:rsidRDefault="008A440D" w:rsidP="001A6046">
      <w:pPr>
        <w:ind w:firstLine="357"/>
        <w:rPr>
          <w:sz w:val="22"/>
          <w:szCs w:val="22"/>
          <w:lang w:val="en-ZA"/>
        </w:rPr>
      </w:pPr>
      <w:r w:rsidRPr="00B72BD5">
        <w:rPr>
          <w:b/>
          <w:sz w:val="22"/>
          <w:szCs w:val="22"/>
          <w:lang w:val="en-ZA"/>
        </w:rPr>
        <w:t>LILO Work:</w:t>
      </w:r>
      <w:r w:rsidRPr="00B72BD5">
        <w:rPr>
          <w:sz w:val="22"/>
          <w:szCs w:val="22"/>
          <w:lang w:val="en-ZA"/>
        </w:rPr>
        <w:t xml:space="preserve"> a workshop for sex workers (18-years-old or above). It contextualises sex workers’ occupation within a wider understanding of a more layered, nuanced self. Participants also explore sex work as work, the hazards of the business and the need to protect oneself from, and address, issues around violence and sexual health. The workshop focuses on what an individual can control to mitigate against these challenges. Individuals’ dreams for their future are explored, business skills are </w:t>
      </w:r>
      <w:r w:rsidR="00364FC3" w:rsidRPr="00B72BD5">
        <w:rPr>
          <w:sz w:val="22"/>
          <w:szCs w:val="22"/>
          <w:lang w:val="en-ZA"/>
        </w:rPr>
        <w:t>shared,</w:t>
      </w:r>
      <w:r w:rsidRPr="00B72BD5">
        <w:rPr>
          <w:sz w:val="22"/>
          <w:szCs w:val="22"/>
          <w:lang w:val="en-ZA"/>
        </w:rPr>
        <w:t xml:space="preserve"> and the final sessions of the workshop are geared toward actions aimed at realising these dreams.</w:t>
      </w:r>
    </w:p>
    <w:p w14:paraId="561C7080" w14:textId="20870E51" w:rsidR="00BC6B90" w:rsidRDefault="00587322" w:rsidP="0087690D">
      <w:pPr>
        <w:ind w:firstLine="357"/>
        <w:rPr>
          <w:sz w:val="22"/>
          <w:szCs w:val="22"/>
          <w:lang w:val="en-ZA"/>
        </w:rPr>
      </w:pPr>
      <w:r w:rsidRPr="004D5AFC">
        <w:rPr>
          <w:b/>
          <w:sz w:val="22"/>
          <w:szCs w:val="22"/>
          <w:lang w:val="en-ZA"/>
        </w:rPr>
        <w:t>Sing of Freedom (new version</w:t>
      </w:r>
      <w:r w:rsidR="00326792">
        <w:rPr>
          <w:b/>
          <w:sz w:val="22"/>
          <w:szCs w:val="22"/>
          <w:lang w:val="en-ZA"/>
        </w:rPr>
        <w:t xml:space="preserve"> tailored</w:t>
      </w:r>
      <w:r w:rsidRPr="004D5AFC">
        <w:rPr>
          <w:b/>
          <w:sz w:val="22"/>
          <w:szCs w:val="22"/>
          <w:lang w:val="en-ZA"/>
        </w:rPr>
        <w:t xml:space="preserve"> for young women): </w:t>
      </w:r>
      <w:r w:rsidRPr="00B34DA2">
        <w:rPr>
          <w:sz w:val="22"/>
          <w:szCs w:val="22"/>
          <w:lang w:val="en-ZA"/>
        </w:rPr>
        <w:t>Sing of Freedom is a participatory workshop experience</w:t>
      </w:r>
      <w:r>
        <w:rPr>
          <w:sz w:val="22"/>
          <w:szCs w:val="22"/>
          <w:lang w:val="en-ZA"/>
        </w:rPr>
        <w:t xml:space="preserve"> </w:t>
      </w:r>
      <w:r w:rsidRPr="00B34DA2">
        <w:rPr>
          <w:sz w:val="22"/>
          <w:szCs w:val="22"/>
          <w:lang w:val="en-ZA"/>
        </w:rPr>
        <w:t>designed to encourage critical thinking about how</w:t>
      </w:r>
      <w:r>
        <w:rPr>
          <w:sz w:val="22"/>
          <w:szCs w:val="22"/>
          <w:lang w:val="en-ZA"/>
        </w:rPr>
        <w:t xml:space="preserve"> </w:t>
      </w:r>
      <w:r w:rsidRPr="00B34DA2">
        <w:rPr>
          <w:sz w:val="22"/>
          <w:szCs w:val="22"/>
          <w:lang w:val="en-ZA"/>
        </w:rPr>
        <w:t>society works, about structures and systems and</w:t>
      </w:r>
      <w:r>
        <w:rPr>
          <w:sz w:val="22"/>
          <w:szCs w:val="22"/>
          <w:lang w:val="en-ZA"/>
        </w:rPr>
        <w:t xml:space="preserve"> </w:t>
      </w:r>
      <w:r w:rsidRPr="00B34DA2">
        <w:rPr>
          <w:sz w:val="22"/>
          <w:szCs w:val="22"/>
          <w:lang w:val="en-ZA"/>
        </w:rPr>
        <w:t>institutions that regulate power, policy, law and,</w:t>
      </w:r>
      <w:r>
        <w:rPr>
          <w:sz w:val="22"/>
          <w:szCs w:val="22"/>
          <w:lang w:val="en-ZA"/>
        </w:rPr>
        <w:t xml:space="preserve"> </w:t>
      </w:r>
      <w:r w:rsidRPr="00B34DA2">
        <w:rPr>
          <w:sz w:val="22"/>
          <w:szCs w:val="22"/>
          <w:lang w:val="en-ZA"/>
        </w:rPr>
        <w:t>ultimately, civic freedoms. And more: it is an</w:t>
      </w:r>
      <w:r>
        <w:rPr>
          <w:sz w:val="22"/>
          <w:szCs w:val="22"/>
          <w:lang w:val="en-ZA"/>
        </w:rPr>
        <w:t xml:space="preserve"> </w:t>
      </w:r>
      <w:r w:rsidRPr="00B34DA2">
        <w:rPr>
          <w:sz w:val="22"/>
          <w:szCs w:val="22"/>
          <w:lang w:val="en-ZA"/>
        </w:rPr>
        <w:t>opportunity to reflect on the fundamental ethics of</w:t>
      </w:r>
      <w:r>
        <w:rPr>
          <w:sz w:val="22"/>
          <w:szCs w:val="22"/>
          <w:lang w:val="en-ZA"/>
        </w:rPr>
        <w:t xml:space="preserve"> </w:t>
      </w:r>
      <w:r w:rsidRPr="00B34DA2">
        <w:rPr>
          <w:sz w:val="22"/>
          <w:szCs w:val="22"/>
          <w:lang w:val="en-ZA"/>
        </w:rPr>
        <w:t xml:space="preserve">human rights – to dignity; to equality; to privacy; to </w:t>
      </w:r>
      <w:r w:rsidR="00326792" w:rsidRPr="00B34DA2">
        <w:rPr>
          <w:sz w:val="22"/>
          <w:szCs w:val="22"/>
          <w:lang w:val="en-ZA"/>
        </w:rPr>
        <w:t>non</w:t>
      </w:r>
      <w:r w:rsidR="00326792">
        <w:rPr>
          <w:sz w:val="22"/>
          <w:szCs w:val="22"/>
          <w:lang w:val="en-ZA"/>
        </w:rPr>
        <w:t>-</w:t>
      </w:r>
      <w:r w:rsidR="00326792" w:rsidRPr="00B34DA2">
        <w:rPr>
          <w:sz w:val="22"/>
          <w:szCs w:val="22"/>
          <w:lang w:val="en-ZA"/>
        </w:rPr>
        <w:t>discrimination</w:t>
      </w:r>
      <w:r w:rsidRPr="00B34DA2">
        <w:rPr>
          <w:sz w:val="22"/>
          <w:szCs w:val="22"/>
          <w:lang w:val="en-ZA"/>
        </w:rPr>
        <w:t>; to freedom from inhumane treatment –</w:t>
      </w:r>
      <w:r>
        <w:rPr>
          <w:sz w:val="22"/>
          <w:szCs w:val="22"/>
          <w:lang w:val="en-ZA"/>
        </w:rPr>
        <w:t xml:space="preserve"> </w:t>
      </w:r>
      <w:r w:rsidRPr="00B34DA2">
        <w:rPr>
          <w:sz w:val="22"/>
          <w:szCs w:val="22"/>
          <w:lang w:val="en-ZA"/>
        </w:rPr>
        <w:t>and their relationship to the law.</w:t>
      </w:r>
    </w:p>
    <w:p w14:paraId="574749B8" w14:textId="0E43BAA6" w:rsidR="008A440D" w:rsidRPr="00B72BD5" w:rsidRDefault="008A440D" w:rsidP="00BC6B90">
      <w:pPr>
        <w:ind w:firstLine="357"/>
        <w:rPr>
          <w:bCs/>
          <w:sz w:val="22"/>
          <w:szCs w:val="22"/>
          <w:lang w:val="en-ZA"/>
        </w:rPr>
      </w:pPr>
      <w:r w:rsidRPr="00B72BD5">
        <w:rPr>
          <w:b/>
          <w:sz w:val="22"/>
          <w:szCs w:val="22"/>
          <w:lang w:val="en-ZA"/>
        </w:rPr>
        <w:t xml:space="preserve">Fit for Purpose: </w:t>
      </w:r>
      <w:r w:rsidRPr="00B72BD5">
        <w:rPr>
          <w:bCs/>
          <w:sz w:val="22"/>
          <w:szCs w:val="22"/>
          <w:lang w:val="en-ZA"/>
        </w:rPr>
        <w:t>a workshop that</w:t>
      </w:r>
      <w:r w:rsidRPr="00B72BD5">
        <w:rPr>
          <w:b/>
          <w:sz w:val="22"/>
          <w:szCs w:val="22"/>
          <w:lang w:val="en-ZA"/>
        </w:rPr>
        <w:t xml:space="preserve"> </w:t>
      </w:r>
      <w:r w:rsidRPr="00B72BD5">
        <w:rPr>
          <w:bCs/>
          <w:sz w:val="22"/>
          <w:szCs w:val="22"/>
          <w:lang w:val="en-ZA"/>
        </w:rPr>
        <w:t>allow</w:t>
      </w:r>
      <w:r w:rsidR="005224CA">
        <w:rPr>
          <w:bCs/>
          <w:sz w:val="22"/>
          <w:szCs w:val="22"/>
          <w:lang w:val="en-ZA"/>
        </w:rPr>
        <w:t>s</w:t>
      </w:r>
      <w:r w:rsidRPr="00B72BD5">
        <w:rPr>
          <w:bCs/>
          <w:sz w:val="22"/>
          <w:szCs w:val="22"/>
          <w:lang w:val="en-ZA"/>
        </w:rPr>
        <w:t xml:space="preserve"> organisations to self-diagnose their organisational health and position at a specific point in </w:t>
      </w:r>
      <w:r w:rsidR="00364FC3" w:rsidRPr="00B72BD5">
        <w:rPr>
          <w:bCs/>
          <w:sz w:val="22"/>
          <w:szCs w:val="22"/>
          <w:lang w:val="en-ZA"/>
        </w:rPr>
        <w:t>time and</w:t>
      </w:r>
      <w:r w:rsidRPr="00B72BD5">
        <w:rPr>
          <w:bCs/>
          <w:sz w:val="22"/>
          <w:szCs w:val="22"/>
          <w:lang w:val="en-ZA"/>
        </w:rPr>
        <w:t xml:space="preserve"> identify both strengths to build on and capacity needs to address. This allows organisations to plan for change in priority areas, to identify what actions and support are necessary to achieve their goals, to respond effectively to their context, to measure improvements and track progress over time, to learn from their practice, and to take their next development step. </w:t>
      </w:r>
    </w:p>
    <w:p w14:paraId="1AD3C7B3" w14:textId="4F3CA815" w:rsidR="001537BD" w:rsidRDefault="00D07853" w:rsidP="001A6046">
      <w:pPr>
        <w:ind w:firstLine="357"/>
        <w:rPr>
          <w:sz w:val="22"/>
          <w:szCs w:val="22"/>
          <w:lang w:val="en-ZA"/>
        </w:rPr>
      </w:pPr>
      <w:r w:rsidRPr="00326792">
        <w:rPr>
          <w:b/>
          <w:bCs/>
          <w:sz w:val="22"/>
          <w:szCs w:val="22"/>
          <w:lang w:val="en-ZA"/>
        </w:rPr>
        <w:t>GPS</w:t>
      </w:r>
      <w:r w:rsidRPr="00326792">
        <w:rPr>
          <w:sz w:val="22"/>
          <w:szCs w:val="22"/>
          <w:lang w:val="en-ZA"/>
        </w:rPr>
        <w:t xml:space="preserve">:  </w:t>
      </w:r>
      <w:r>
        <w:rPr>
          <w:sz w:val="22"/>
          <w:szCs w:val="22"/>
          <w:lang w:val="en-ZA"/>
        </w:rPr>
        <w:t xml:space="preserve">the Gauging Position in the System methodology focuses is inward looking and explores </w:t>
      </w:r>
      <w:r w:rsidRPr="00425CC1">
        <w:rPr>
          <w:sz w:val="22"/>
          <w:szCs w:val="22"/>
          <w:lang w:val="en-ZA"/>
        </w:rPr>
        <w:t xml:space="preserve">partner’s capacity for influence and advocacy and, indeed, participation in public policy and, ultimately, sustainability linked to relevance is impacted by how close they get to the centre of the radar graphs.  Those </w:t>
      </w:r>
      <w:r>
        <w:rPr>
          <w:sz w:val="22"/>
          <w:szCs w:val="22"/>
          <w:lang w:val="en-ZA"/>
        </w:rPr>
        <w:t>o</w:t>
      </w:r>
      <w:r w:rsidRPr="00425CC1">
        <w:rPr>
          <w:sz w:val="22"/>
          <w:szCs w:val="22"/>
          <w:lang w:val="en-ZA"/>
        </w:rPr>
        <w:t xml:space="preserve">rganisations that are far away from the centre are, effectively, on the periphery of the influencing </w:t>
      </w:r>
      <w:r w:rsidRPr="00425CC1">
        <w:rPr>
          <w:sz w:val="22"/>
          <w:szCs w:val="22"/>
          <w:lang w:val="en-ZA"/>
        </w:rPr>
        <w:lastRenderedPageBreak/>
        <w:t>environment and may – despite their best programming efforts – be far from the power they need to effect change</w:t>
      </w:r>
      <w:r w:rsidR="009D73B5">
        <w:rPr>
          <w:sz w:val="22"/>
          <w:szCs w:val="22"/>
          <w:lang w:val="en-ZA"/>
        </w:rPr>
        <w:t xml:space="preserve">. </w:t>
      </w:r>
      <w:r w:rsidRPr="00425CC1">
        <w:rPr>
          <w:sz w:val="22"/>
          <w:szCs w:val="22"/>
          <w:lang w:val="en-ZA"/>
        </w:rPr>
        <w:t>T</w:t>
      </w:r>
      <w:r w:rsidR="00812967">
        <w:rPr>
          <w:sz w:val="22"/>
          <w:szCs w:val="22"/>
          <w:lang w:val="en-ZA"/>
        </w:rPr>
        <w:t>his</w:t>
      </w:r>
      <w:r w:rsidRPr="00425CC1">
        <w:rPr>
          <w:sz w:val="22"/>
          <w:szCs w:val="22"/>
          <w:lang w:val="en-ZA"/>
        </w:rPr>
        <w:t xml:space="preserve"> analysis may be a useful start to a strategic conversation with each partner around customised strategy development, </w:t>
      </w:r>
      <w:proofErr w:type="gramStart"/>
      <w:r w:rsidRPr="00425CC1">
        <w:rPr>
          <w:sz w:val="22"/>
          <w:szCs w:val="22"/>
          <w:lang w:val="en-ZA"/>
        </w:rPr>
        <w:t>programming</w:t>
      </w:r>
      <w:proofErr w:type="gramEnd"/>
      <w:r w:rsidRPr="00425CC1">
        <w:rPr>
          <w:sz w:val="22"/>
          <w:szCs w:val="22"/>
          <w:lang w:val="en-ZA"/>
        </w:rPr>
        <w:t xml:space="preserve"> and accompaniment in each context, looking at where the gaps are, thinking about how to address them to get closer to peak influencing position.  </w:t>
      </w:r>
    </w:p>
    <w:p w14:paraId="4686150E" w14:textId="29BCFFC7" w:rsidR="008C43D2" w:rsidRDefault="008C43D2" w:rsidP="008C43D2">
      <w:pPr>
        <w:ind w:firstLine="357"/>
        <w:rPr>
          <w:bCs/>
          <w:sz w:val="22"/>
          <w:szCs w:val="22"/>
          <w:lang w:val="en-US"/>
        </w:rPr>
      </w:pPr>
      <w:bookmarkStart w:id="51" w:name="_Toc34813959"/>
      <w:bookmarkStart w:id="52" w:name="_Toc34813947"/>
      <w:r w:rsidRPr="008C43D2">
        <w:rPr>
          <w:b/>
          <w:sz w:val="22"/>
          <w:szCs w:val="22"/>
          <w:lang w:val="en-US"/>
        </w:rPr>
        <w:t>Pathways to Sustainability:</w:t>
      </w:r>
      <w:r w:rsidRPr="008C43D2">
        <w:rPr>
          <w:b/>
          <w:i/>
          <w:iCs/>
          <w:sz w:val="22"/>
          <w:szCs w:val="22"/>
          <w:lang w:val="en-US"/>
        </w:rPr>
        <w:t xml:space="preserve"> </w:t>
      </w:r>
      <w:r w:rsidRPr="008C43D2">
        <w:rPr>
          <w:bCs/>
          <w:sz w:val="22"/>
          <w:szCs w:val="22"/>
          <w:lang w:val="en-US"/>
        </w:rPr>
        <w:t xml:space="preserve">a workshop process designed for directors, management and board members of Southern </w:t>
      </w:r>
      <w:proofErr w:type="gramStart"/>
      <w:r w:rsidRPr="008C43D2">
        <w:rPr>
          <w:bCs/>
          <w:sz w:val="22"/>
          <w:szCs w:val="22"/>
          <w:lang w:val="en-US"/>
        </w:rPr>
        <w:t>NGO’s</w:t>
      </w:r>
      <w:proofErr w:type="gramEnd"/>
      <w:r w:rsidRPr="008C43D2">
        <w:rPr>
          <w:bCs/>
          <w:sz w:val="22"/>
          <w:szCs w:val="22"/>
          <w:lang w:val="en-US"/>
        </w:rPr>
        <w:t xml:space="preserve"> to take a more strategic and social entrepreneurial approach to sourcing funds for long term sustainability, while positioning themselves realistically in the funding landscape. Participatory and experiential activities are </w:t>
      </w:r>
      <w:proofErr w:type="gramStart"/>
      <w:r w:rsidRPr="008C43D2">
        <w:rPr>
          <w:bCs/>
          <w:sz w:val="22"/>
          <w:szCs w:val="22"/>
          <w:lang w:val="en-US"/>
        </w:rPr>
        <w:t>practical, and</w:t>
      </w:r>
      <w:proofErr w:type="gramEnd"/>
      <w:r w:rsidRPr="008C43D2">
        <w:rPr>
          <w:bCs/>
          <w:sz w:val="22"/>
          <w:szCs w:val="22"/>
          <w:lang w:val="en-US"/>
        </w:rPr>
        <w:t xml:space="preserve"> are woven through content that is delivered through creative and amusing local metaphors and symbols, making the core concepts accessible and memorable. </w:t>
      </w:r>
    </w:p>
    <w:p w14:paraId="1E17B902" w14:textId="4B92B8E6" w:rsidR="00D04861" w:rsidRPr="00D04861" w:rsidRDefault="00D04861" w:rsidP="00D04861">
      <w:pPr>
        <w:ind w:firstLine="357"/>
        <w:rPr>
          <w:sz w:val="22"/>
          <w:szCs w:val="22"/>
          <w:lang w:val="en-US"/>
        </w:rPr>
      </w:pPr>
      <w:r w:rsidRPr="00D04861">
        <w:rPr>
          <w:b/>
          <w:bCs/>
          <w:sz w:val="22"/>
          <w:szCs w:val="22"/>
          <w:highlight w:val="yellow"/>
          <w:lang w:val="en-US"/>
        </w:rPr>
        <w:t>Method for Sub</w:t>
      </w:r>
      <w:r w:rsidR="003D528A">
        <w:rPr>
          <w:b/>
          <w:bCs/>
          <w:sz w:val="22"/>
          <w:szCs w:val="22"/>
          <w:highlight w:val="yellow"/>
          <w:lang w:val="en-US"/>
        </w:rPr>
        <w:t>-</w:t>
      </w:r>
      <w:r w:rsidRPr="00D04861">
        <w:rPr>
          <w:b/>
          <w:bCs/>
          <w:sz w:val="22"/>
          <w:szCs w:val="22"/>
          <w:highlight w:val="yellow"/>
          <w:lang w:val="en-US"/>
        </w:rPr>
        <w:t>grant</w:t>
      </w:r>
      <w:r w:rsidR="002959FD">
        <w:rPr>
          <w:b/>
          <w:bCs/>
          <w:sz w:val="22"/>
          <w:szCs w:val="22"/>
          <w:highlight w:val="yellow"/>
          <w:lang w:val="en-US"/>
        </w:rPr>
        <w:t>ing</w:t>
      </w:r>
      <w:r w:rsidRPr="00D04861">
        <w:rPr>
          <w:b/>
          <w:bCs/>
          <w:sz w:val="22"/>
          <w:szCs w:val="22"/>
          <w:highlight w:val="yellow"/>
          <w:lang w:val="en-US"/>
        </w:rPr>
        <w:t xml:space="preserve"> to partners:</w:t>
      </w:r>
      <w:r w:rsidRPr="00D04861">
        <w:rPr>
          <w:sz w:val="22"/>
          <w:szCs w:val="22"/>
          <w:highlight w:val="yellow"/>
          <w:lang w:val="en-US"/>
        </w:rPr>
        <w:t xml:space="preserve"> </w:t>
      </w:r>
    </w:p>
    <w:p w14:paraId="0F214CCF" w14:textId="69B80B5B" w:rsidR="00D04861" w:rsidRPr="00D04861" w:rsidRDefault="00D04861" w:rsidP="00D04861">
      <w:pPr>
        <w:rPr>
          <w:sz w:val="22"/>
          <w:szCs w:val="22"/>
          <w:highlight w:val="yellow"/>
          <w:lang w:val="en-ZA"/>
        </w:rPr>
      </w:pPr>
      <w:r w:rsidRPr="00D04861">
        <w:rPr>
          <w:sz w:val="22"/>
          <w:szCs w:val="22"/>
          <w:highlight w:val="yellow"/>
          <w:lang w:val="en-ZA"/>
        </w:rPr>
        <w:t xml:space="preserve">As a learning organisation, PV`s grant-making process focus on co-creation of the project </w:t>
      </w:r>
      <w:r w:rsidR="00F411A9">
        <w:rPr>
          <w:sz w:val="22"/>
          <w:szCs w:val="22"/>
          <w:highlight w:val="yellow"/>
          <w:lang w:val="en-ZA"/>
        </w:rPr>
        <w:t>with</w:t>
      </w:r>
      <w:r w:rsidRPr="00D04861">
        <w:rPr>
          <w:sz w:val="22"/>
          <w:szCs w:val="22"/>
          <w:highlight w:val="yellow"/>
          <w:lang w:val="en-ZA"/>
        </w:rPr>
        <w:t xml:space="preserve"> partners, agreeing on parameters to work together to develop fair and ethical grants making process. </w:t>
      </w:r>
      <w:proofErr w:type="gramStart"/>
      <w:r w:rsidRPr="00D04861">
        <w:rPr>
          <w:sz w:val="22"/>
          <w:szCs w:val="22"/>
          <w:highlight w:val="yellow"/>
          <w:lang w:val="en-ZA"/>
        </w:rPr>
        <w:t>Particular focus</w:t>
      </w:r>
      <w:proofErr w:type="gramEnd"/>
      <w:r w:rsidRPr="00D04861">
        <w:rPr>
          <w:sz w:val="22"/>
          <w:szCs w:val="22"/>
          <w:highlight w:val="yellow"/>
          <w:lang w:val="en-ZA"/>
        </w:rPr>
        <w:t xml:space="preserve"> is put on mitigating power dynamics, identify and address potential risks and what can be agreed before grants are signed to enable swift implementation. </w:t>
      </w:r>
      <w:r w:rsidRPr="00D04861">
        <w:rPr>
          <w:sz w:val="22"/>
          <w:szCs w:val="22"/>
          <w:highlight w:val="yellow"/>
        </w:rPr>
        <w:t xml:space="preserve">Elements of grant </w:t>
      </w:r>
      <w:proofErr w:type="spellStart"/>
      <w:r w:rsidRPr="00D04861">
        <w:rPr>
          <w:sz w:val="22"/>
          <w:szCs w:val="22"/>
          <w:highlight w:val="yellow"/>
        </w:rPr>
        <w:t>making</w:t>
      </w:r>
      <w:proofErr w:type="spellEnd"/>
      <w:r w:rsidRPr="00D04861">
        <w:rPr>
          <w:sz w:val="22"/>
          <w:szCs w:val="22"/>
          <w:highlight w:val="yellow"/>
        </w:rPr>
        <w:t xml:space="preserve"> </w:t>
      </w:r>
      <w:proofErr w:type="spellStart"/>
      <w:r w:rsidRPr="00D04861">
        <w:rPr>
          <w:sz w:val="22"/>
          <w:szCs w:val="22"/>
          <w:highlight w:val="yellow"/>
        </w:rPr>
        <w:t>include</w:t>
      </w:r>
      <w:proofErr w:type="spellEnd"/>
      <w:r w:rsidRPr="00D04861">
        <w:rPr>
          <w:sz w:val="22"/>
          <w:szCs w:val="22"/>
          <w:highlight w:val="yellow"/>
        </w:rPr>
        <w:t>:</w:t>
      </w:r>
    </w:p>
    <w:p w14:paraId="7247148F" w14:textId="5D309DFD" w:rsidR="000A013F" w:rsidRPr="000A013F" w:rsidRDefault="000A013F" w:rsidP="00AE6D65">
      <w:pPr>
        <w:numPr>
          <w:ilvl w:val="0"/>
          <w:numId w:val="48"/>
        </w:numPr>
        <w:rPr>
          <w:rFonts w:eastAsia="Times New Roman"/>
          <w:b/>
          <w:bCs/>
          <w:sz w:val="22"/>
          <w:szCs w:val="22"/>
          <w:highlight w:val="yellow"/>
          <w:lang w:val="en-ZA"/>
        </w:rPr>
      </w:pPr>
      <w:r w:rsidRPr="000A013F">
        <w:rPr>
          <w:rFonts w:eastAsia="Times New Roman"/>
          <w:b/>
          <w:bCs/>
          <w:sz w:val="22"/>
          <w:szCs w:val="22"/>
          <w:highlight w:val="yellow"/>
          <w:lang w:val="en-ZA"/>
        </w:rPr>
        <w:t>Finalisation of the planning of the specific project activities to be carried out under each grant</w:t>
      </w:r>
    </w:p>
    <w:p w14:paraId="173EFD5C" w14:textId="2B647C03" w:rsidR="000A013F" w:rsidRPr="0035325A" w:rsidRDefault="000A013F" w:rsidP="000A013F">
      <w:pPr>
        <w:ind w:left="720"/>
        <w:rPr>
          <w:rFonts w:eastAsia="Times New Roman"/>
          <w:sz w:val="22"/>
          <w:szCs w:val="22"/>
          <w:highlight w:val="yellow"/>
          <w:lang w:val="en-ZA"/>
        </w:rPr>
      </w:pPr>
      <w:r w:rsidRPr="0035325A">
        <w:rPr>
          <w:rFonts w:eastAsia="Times New Roman"/>
          <w:sz w:val="22"/>
          <w:szCs w:val="22"/>
          <w:highlight w:val="yellow"/>
          <w:lang w:val="en-ZA"/>
        </w:rPr>
        <w:t>Th</w:t>
      </w:r>
      <w:r w:rsidR="0035325A" w:rsidRPr="0035325A">
        <w:rPr>
          <w:rFonts w:eastAsia="Times New Roman"/>
          <w:sz w:val="22"/>
          <w:szCs w:val="22"/>
          <w:highlight w:val="yellow"/>
          <w:lang w:val="en-ZA"/>
        </w:rPr>
        <w:t>is</w:t>
      </w:r>
      <w:r w:rsidRPr="0035325A">
        <w:rPr>
          <w:rFonts w:eastAsia="Times New Roman"/>
          <w:sz w:val="22"/>
          <w:szCs w:val="22"/>
          <w:highlight w:val="yellow"/>
          <w:lang w:val="en-ZA"/>
        </w:rPr>
        <w:t xml:space="preserve"> has been tentatively outlined as a part of the joint project preparations and</w:t>
      </w:r>
      <w:r w:rsidR="0035325A" w:rsidRPr="0035325A">
        <w:rPr>
          <w:rFonts w:eastAsia="Times New Roman"/>
          <w:sz w:val="22"/>
          <w:szCs w:val="22"/>
          <w:highlight w:val="yellow"/>
          <w:lang w:val="en-ZA"/>
        </w:rPr>
        <w:t xml:space="preserve"> broadly</w:t>
      </w:r>
      <w:r w:rsidRPr="0035325A">
        <w:rPr>
          <w:rFonts w:eastAsia="Times New Roman"/>
          <w:sz w:val="22"/>
          <w:szCs w:val="22"/>
          <w:highlight w:val="yellow"/>
          <w:lang w:val="en-ZA"/>
        </w:rPr>
        <w:t xml:space="preserve"> described under Output 6</w:t>
      </w:r>
      <w:r w:rsidR="0035325A" w:rsidRPr="0035325A">
        <w:rPr>
          <w:rFonts w:eastAsia="Times New Roman"/>
          <w:sz w:val="22"/>
          <w:szCs w:val="22"/>
          <w:highlight w:val="yellow"/>
          <w:lang w:val="en-ZA"/>
        </w:rPr>
        <w:t xml:space="preserve"> below in the Log frame.  </w:t>
      </w:r>
      <w:r w:rsidR="0035325A" w:rsidRPr="0035325A">
        <w:rPr>
          <w:rFonts w:ascii="Calibri" w:eastAsia="Calibri" w:hAnsi="Calibri" w:cs="Calibri"/>
          <w:noProof/>
          <w:sz w:val="22"/>
          <w:szCs w:val="22"/>
          <w:highlight w:val="yellow"/>
          <w:lang w:val="en-ZA"/>
        </w:rPr>
        <w:t xml:space="preserve">The specific package of activities in each community will include </w:t>
      </w:r>
      <w:r w:rsidR="0035325A" w:rsidRPr="0035325A">
        <w:rPr>
          <w:rFonts w:ascii="Calibri" w:eastAsia="Calibri" w:hAnsi="Calibri" w:cs="Calibri"/>
          <w:b/>
          <w:bCs/>
          <w:noProof/>
          <w:sz w:val="22"/>
          <w:szCs w:val="22"/>
          <w:highlight w:val="yellow"/>
          <w:lang w:val="en-ZA"/>
        </w:rPr>
        <w:t>a selection</w:t>
      </w:r>
      <w:r w:rsidR="0035325A" w:rsidRPr="0035325A">
        <w:rPr>
          <w:rFonts w:ascii="Calibri" w:eastAsia="Calibri" w:hAnsi="Calibri" w:cs="Calibri"/>
          <w:noProof/>
          <w:sz w:val="22"/>
          <w:szCs w:val="22"/>
          <w:highlight w:val="yellow"/>
          <w:lang w:val="en-ZA"/>
        </w:rPr>
        <w:t xml:space="preserve"> of</w:t>
      </w:r>
      <w:r w:rsidR="0035325A">
        <w:rPr>
          <w:rFonts w:ascii="Calibri" w:eastAsia="Calibri" w:hAnsi="Calibri" w:cs="Calibri"/>
          <w:noProof/>
          <w:sz w:val="22"/>
          <w:szCs w:val="22"/>
          <w:highlight w:val="yellow"/>
          <w:lang w:val="en-ZA"/>
        </w:rPr>
        <w:t xml:space="preserve"> the outlined</w:t>
      </w:r>
      <w:r w:rsidR="0035325A" w:rsidRPr="0035325A">
        <w:rPr>
          <w:rFonts w:ascii="Calibri" w:eastAsia="Calibri" w:hAnsi="Calibri" w:cs="Calibri"/>
          <w:noProof/>
          <w:sz w:val="22"/>
          <w:szCs w:val="22"/>
          <w:highlight w:val="yellow"/>
          <w:lang w:val="en-ZA"/>
        </w:rPr>
        <w:t xml:space="preserve"> activities and will be planned </w:t>
      </w:r>
      <w:r w:rsidR="0035325A">
        <w:rPr>
          <w:rFonts w:ascii="Calibri" w:eastAsia="Calibri" w:hAnsi="Calibri" w:cs="Calibri"/>
          <w:noProof/>
          <w:sz w:val="22"/>
          <w:szCs w:val="22"/>
          <w:highlight w:val="yellow"/>
          <w:lang w:val="en-ZA"/>
        </w:rPr>
        <w:t xml:space="preserve">in more detail </w:t>
      </w:r>
      <w:r w:rsidR="0035325A" w:rsidRPr="0035325A">
        <w:rPr>
          <w:rFonts w:ascii="Calibri" w:eastAsia="Calibri" w:hAnsi="Calibri" w:cs="Calibri"/>
          <w:noProof/>
          <w:sz w:val="22"/>
          <w:szCs w:val="22"/>
          <w:highlight w:val="yellow"/>
          <w:lang w:val="en-ZA"/>
        </w:rPr>
        <w:t xml:space="preserve">by the partner organisations in dialogue with PV building </w:t>
      </w:r>
      <w:r w:rsidR="0019397D">
        <w:rPr>
          <w:rFonts w:ascii="Calibri" w:eastAsia="Calibri" w:hAnsi="Calibri" w:cs="Calibri"/>
          <w:noProof/>
          <w:sz w:val="22"/>
          <w:szCs w:val="22"/>
          <w:highlight w:val="yellow"/>
          <w:lang w:val="en-ZA"/>
        </w:rPr>
        <w:t>also</w:t>
      </w:r>
      <w:r w:rsidR="0035325A" w:rsidRPr="0035325A">
        <w:rPr>
          <w:rFonts w:ascii="Calibri" w:eastAsia="Calibri" w:hAnsi="Calibri" w:cs="Calibri"/>
          <w:noProof/>
          <w:sz w:val="22"/>
          <w:szCs w:val="22"/>
          <w:highlight w:val="yellow"/>
          <w:lang w:val="en-ZA"/>
        </w:rPr>
        <w:t xml:space="preserve"> </w:t>
      </w:r>
      <w:r w:rsidR="0019397D" w:rsidRPr="0035325A">
        <w:rPr>
          <w:rFonts w:ascii="Calibri" w:eastAsia="Calibri" w:hAnsi="Calibri" w:cs="Calibri"/>
          <w:noProof/>
          <w:sz w:val="22"/>
          <w:szCs w:val="22"/>
          <w:highlight w:val="yellow"/>
          <w:lang w:val="en-ZA"/>
        </w:rPr>
        <w:t xml:space="preserve">on </w:t>
      </w:r>
      <w:r w:rsidR="0035325A" w:rsidRPr="0035325A">
        <w:rPr>
          <w:rFonts w:ascii="Calibri" w:eastAsia="Calibri" w:hAnsi="Calibri" w:cs="Calibri"/>
          <w:noProof/>
          <w:sz w:val="22"/>
          <w:szCs w:val="22"/>
          <w:highlight w:val="yellow"/>
          <w:lang w:val="en-ZA"/>
        </w:rPr>
        <w:t>the initial training under Outcome 1 and based on local needs and opportunities.</w:t>
      </w:r>
    </w:p>
    <w:p w14:paraId="0B8C54D4" w14:textId="39D77D60" w:rsidR="00D04861" w:rsidRPr="000A013F" w:rsidRDefault="000A013F" w:rsidP="00AE6D65">
      <w:pPr>
        <w:numPr>
          <w:ilvl w:val="0"/>
          <w:numId w:val="48"/>
        </w:numPr>
        <w:rPr>
          <w:rFonts w:eastAsia="Times New Roman"/>
          <w:sz w:val="22"/>
          <w:szCs w:val="22"/>
          <w:highlight w:val="yellow"/>
          <w:lang w:val="en-ZA"/>
        </w:rPr>
      </w:pPr>
      <w:r w:rsidRPr="000A013F">
        <w:rPr>
          <w:rFonts w:eastAsia="Times New Roman"/>
          <w:b/>
          <w:bCs/>
          <w:sz w:val="22"/>
          <w:szCs w:val="22"/>
          <w:highlight w:val="yellow"/>
          <w:lang w:val="en-ZA"/>
        </w:rPr>
        <w:t>I</w:t>
      </w:r>
      <w:r w:rsidR="00D04861" w:rsidRPr="000A013F">
        <w:rPr>
          <w:rFonts w:eastAsia="Times New Roman"/>
          <w:b/>
          <w:bCs/>
          <w:sz w:val="22"/>
          <w:szCs w:val="22"/>
          <w:highlight w:val="yellow"/>
          <w:lang w:val="en-ZA"/>
        </w:rPr>
        <w:t xml:space="preserve">mplementation readiness </w:t>
      </w:r>
      <w:r w:rsidR="007252EB">
        <w:rPr>
          <w:rFonts w:eastAsia="Times New Roman"/>
          <w:b/>
          <w:bCs/>
          <w:sz w:val="22"/>
          <w:szCs w:val="22"/>
          <w:highlight w:val="yellow"/>
          <w:lang w:val="en-ZA"/>
        </w:rPr>
        <w:t xml:space="preserve">(fit for </w:t>
      </w:r>
      <w:proofErr w:type="gramStart"/>
      <w:r w:rsidR="007252EB">
        <w:rPr>
          <w:rFonts w:eastAsia="Times New Roman"/>
          <w:b/>
          <w:bCs/>
          <w:sz w:val="22"/>
          <w:szCs w:val="22"/>
          <w:highlight w:val="yellow"/>
          <w:lang w:val="en-ZA"/>
        </w:rPr>
        <w:t>purpose)</w:t>
      </w:r>
      <w:r w:rsidR="00D04861" w:rsidRPr="000A013F">
        <w:rPr>
          <w:rFonts w:eastAsia="Times New Roman"/>
          <w:b/>
          <w:bCs/>
          <w:sz w:val="22"/>
          <w:szCs w:val="22"/>
          <w:highlight w:val="yellow"/>
          <w:lang w:val="en-ZA"/>
        </w:rPr>
        <w:t>supports</w:t>
      </w:r>
      <w:proofErr w:type="gramEnd"/>
      <w:r w:rsidR="00D04861" w:rsidRPr="000A013F">
        <w:rPr>
          <w:rFonts w:eastAsia="Times New Roman"/>
          <w:b/>
          <w:bCs/>
          <w:sz w:val="22"/>
          <w:szCs w:val="22"/>
          <w:highlight w:val="yellow"/>
          <w:lang w:val="en-ZA"/>
        </w:rPr>
        <w:t xml:space="preserve"> the achievement of project activities and absorption of the budget.</w:t>
      </w:r>
      <w:r w:rsidR="00D04861" w:rsidRPr="000A013F">
        <w:rPr>
          <w:rFonts w:eastAsia="Times New Roman"/>
          <w:b/>
          <w:bCs/>
          <w:sz w:val="22"/>
          <w:szCs w:val="22"/>
          <w:highlight w:val="yellow"/>
          <w:lang w:val="en-ZA"/>
        </w:rPr>
        <w:br/>
      </w:r>
      <w:r w:rsidR="00D04861" w:rsidRPr="000A013F">
        <w:rPr>
          <w:rFonts w:eastAsia="Times New Roman"/>
          <w:sz w:val="22"/>
          <w:szCs w:val="22"/>
          <w:highlight w:val="yellow"/>
          <w:lang w:val="en-ZA"/>
        </w:rPr>
        <w:t>Identification of the right partners, advanced preparations allow programmatic activities and the related use of funds to commence on the contract start date. Preparations include the early identification and contracting of human resources, as well as agreeing on the budget and work plan for the implementation period.</w:t>
      </w:r>
    </w:p>
    <w:p w14:paraId="219F0243" w14:textId="77777777" w:rsidR="00D04861" w:rsidRPr="00D04861" w:rsidRDefault="00D04861" w:rsidP="00D04861">
      <w:pPr>
        <w:numPr>
          <w:ilvl w:val="0"/>
          <w:numId w:val="48"/>
        </w:numPr>
        <w:rPr>
          <w:rFonts w:eastAsia="Times New Roman"/>
          <w:sz w:val="22"/>
          <w:szCs w:val="22"/>
          <w:highlight w:val="yellow"/>
        </w:rPr>
      </w:pPr>
      <w:r w:rsidRPr="00D04861">
        <w:rPr>
          <w:rFonts w:eastAsia="Times New Roman"/>
          <w:b/>
          <w:bCs/>
          <w:sz w:val="22"/>
          <w:szCs w:val="22"/>
          <w:highlight w:val="yellow"/>
          <w:lang w:val="en-ZA"/>
        </w:rPr>
        <w:t xml:space="preserve">Setting deliverables and timelines at the beginning of the process, to allow for accountability and support needed by partners </w:t>
      </w:r>
      <w:r w:rsidRPr="00D04861">
        <w:rPr>
          <w:rFonts w:eastAsia="Times New Roman"/>
          <w:b/>
          <w:bCs/>
          <w:sz w:val="22"/>
          <w:szCs w:val="22"/>
          <w:highlight w:val="yellow"/>
          <w:lang w:val="en-ZA"/>
        </w:rPr>
        <w:br/>
      </w:r>
      <w:r w:rsidRPr="00D04861">
        <w:rPr>
          <w:rFonts w:eastAsia="Times New Roman"/>
          <w:sz w:val="22"/>
          <w:szCs w:val="22"/>
          <w:highlight w:val="yellow"/>
          <w:lang w:val="en-ZA"/>
        </w:rPr>
        <w:t xml:space="preserve">As early in the grant contracting negotiation process, all partners involve plan and agree on a project plan that will cover the deliverables, key </w:t>
      </w:r>
      <w:proofErr w:type="gramStart"/>
      <w:r w:rsidRPr="00D04861">
        <w:rPr>
          <w:rFonts w:eastAsia="Times New Roman"/>
          <w:sz w:val="22"/>
          <w:szCs w:val="22"/>
          <w:highlight w:val="yellow"/>
          <w:lang w:val="en-ZA"/>
        </w:rPr>
        <w:t>milestones</w:t>
      </w:r>
      <w:proofErr w:type="gramEnd"/>
      <w:r w:rsidRPr="00D04861">
        <w:rPr>
          <w:rFonts w:eastAsia="Times New Roman"/>
          <w:sz w:val="22"/>
          <w:szCs w:val="22"/>
          <w:highlight w:val="yellow"/>
          <w:lang w:val="en-ZA"/>
        </w:rPr>
        <w:t xml:space="preserve"> and timelines. </w:t>
      </w:r>
      <w:proofErr w:type="spellStart"/>
      <w:r w:rsidRPr="00D04861">
        <w:rPr>
          <w:rFonts w:eastAsia="Times New Roman"/>
          <w:sz w:val="22"/>
          <w:szCs w:val="22"/>
          <w:highlight w:val="yellow"/>
        </w:rPr>
        <w:t>Also</w:t>
      </w:r>
      <w:proofErr w:type="spellEnd"/>
      <w:r w:rsidRPr="00D04861">
        <w:rPr>
          <w:rFonts w:eastAsia="Times New Roman"/>
          <w:sz w:val="22"/>
          <w:szCs w:val="22"/>
          <w:highlight w:val="yellow"/>
        </w:rPr>
        <w:t xml:space="preserve">, </w:t>
      </w:r>
      <w:proofErr w:type="spellStart"/>
      <w:r w:rsidRPr="00D04861">
        <w:rPr>
          <w:rFonts w:eastAsia="Times New Roman"/>
          <w:sz w:val="22"/>
          <w:szCs w:val="22"/>
          <w:highlight w:val="yellow"/>
        </w:rPr>
        <w:t>capacity</w:t>
      </w:r>
      <w:proofErr w:type="spellEnd"/>
      <w:r w:rsidRPr="00D04861">
        <w:rPr>
          <w:rFonts w:eastAsia="Times New Roman"/>
          <w:sz w:val="22"/>
          <w:szCs w:val="22"/>
          <w:highlight w:val="yellow"/>
        </w:rPr>
        <w:t xml:space="preserve"> </w:t>
      </w:r>
      <w:proofErr w:type="spellStart"/>
      <w:r w:rsidRPr="00D04861">
        <w:rPr>
          <w:rFonts w:eastAsia="Times New Roman"/>
          <w:sz w:val="22"/>
          <w:szCs w:val="22"/>
          <w:highlight w:val="yellow"/>
        </w:rPr>
        <w:t>needs</w:t>
      </w:r>
      <w:proofErr w:type="spellEnd"/>
      <w:r w:rsidRPr="00D04861">
        <w:rPr>
          <w:rFonts w:eastAsia="Times New Roman"/>
          <w:sz w:val="22"/>
          <w:szCs w:val="22"/>
          <w:highlight w:val="yellow"/>
        </w:rPr>
        <w:t xml:space="preserve"> </w:t>
      </w:r>
      <w:proofErr w:type="spellStart"/>
      <w:r w:rsidRPr="00D04861">
        <w:rPr>
          <w:rFonts w:eastAsia="Times New Roman"/>
          <w:sz w:val="22"/>
          <w:szCs w:val="22"/>
          <w:highlight w:val="yellow"/>
        </w:rPr>
        <w:t>are</w:t>
      </w:r>
      <w:proofErr w:type="spellEnd"/>
      <w:r w:rsidRPr="00D04861">
        <w:rPr>
          <w:rFonts w:eastAsia="Times New Roman"/>
          <w:sz w:val="22"/>
          <w:szCs w:val="22"/>
          <w:highlight w:val="yellow"/>
        </w:rPr>
        <w:t xml:space="preserve"> </w:t>
      </w:r>
      <w:proofErr w:type="spellStart"/>
      <w:r w:rsidRPr="00D04861">
        <w:rPr>
          <w:rFonts w:eastAsia="Times New Roman"/>
          <w:sz w:val="22"/>
          <w:szCs w:val="22"/>
          <w:highlight w:val="yellow"/>
        </w:rPr>
        <w:t>identified</w:t>
      </w:r>
      <w:proofErr w:type="spellEnd"/>
      <w:r w:rsidRPr="00D04861">
        <w:rPr>
          <w:rFonts w:eastAsia="Times New Roman"/>
          <w:sz w:val="22"/>
          <w:szCs w:val="22"/>
          <w:highlight w:val="yellow"/>
        </w:rPr>
        <w:t>.</w:t>
      </w:r>
    </w:p>
    <w:p w14:paraId="6C26957C" w14:textId="77777777" w:rsidR="00D04861" w:rsidRPr="00D04861" w:rsidRDefault="00D04861" w:rsidP="00D04861">
      <w:pPr>
        <w:numPr>
          <w:ilvl w:val="0"/>
          <w:numId w:val="48"/>
        </w:numPr>
        <w:rPr>
          <w:rFonts w:eastAsia="Times New Roman"/>
          <w:sz w:val="22"/>
          <w:szCs w:val="22"/>
          <w:highlight w:val="yellow"/>
          <w:lang w:val="en-ZA"/>
        </w:rPr>
      </w:pPr>
      <w:r w:rsidRPr="00D04861">
        <w:rPr>
          <w:rFonts w:eastAsia="Times New Roman"/>
          <w:b/>
          <w:bCs/>
          <w:sz w:val="22"/>
          <w:szCs w:val="22"/>
          <w:highlight w:val="yellow"/>
          <w:lang w:val="en-ZA"/>
        </w:rPr>
        <w:t xml:space="preserve">Accurate, </w:t>
      </w:r>
      <w:proofErr w:type="gramStart"/>
      <w:r w:rsidRPr="00D04861">
        <w:rPr>
          <w:rFonts w:eastAsia="Times New Roman"/>
          <w:b/>
          <w:bCs/>
          <w:sz w:val="22"/>
          <w:szCs w:val="22"/>
          <w:highlight w:val="yellow"/>
          <w:lang w:val="en-ZA"/>
        </w:rPr>
        <w:t>clear</w:t>
      </w:r>
      <w:proofErr w:type="gramEnd"/>
      <w:r w:rsidRPr="00D04861">
        <w:rPr>
          <w:rFonts w:eastAsia="Times New Roman"/>
          <w:b/>
          <w:bCs/>
          <w:sz w:val="22"/>
          <w:szCs w:val="22"/>
          <w:highlight w:val="yellow"/>
          <w:lang w:val="en-ZA"/>
        </w:rPr>
        <w:t xml:space="preserve"> and concise Performance Frameworks and Budgets.</w:t>
      </w:r>
      <w:r w:rsidRPr="00D04861">
        <w:rPr>
          <w:rFonts w:eastAsia="Times New Roman"/>
          <w:b/>
          <w:bCs/>
          <w:sz w:val="22"/>
          <w:szCs w:val="22"/>
          <w:highlight w:val="yellow"/>
          <w:lang w:val="en-ZA"/>
        </w:rPr>
        <w:br/>
      </w:r>
      <w:r w:rsidRPr="00D04861">
        <w:rPr>
          <w:rFonts w:eastAsia="Times New Roman"/>
          <w:sz w:val="22"/>
          <w:szCs w:val="22"/>
          <w:highlight w:val="yellow"/>
          <w:lang w:val="en-ZA"/>
        </w:rPr>
        <w:t>Focused Performance Frameworks enable quality and timely implementation and monitoring. They balance the need for detail while also enabling easy reporting and/or revisions during implementation.</w:t>
      </w:r>
    </w:p>
    <w:p w14:paraId="3558B9D3" w14:textId="77777777" w:rsidR="00D04861" w:rsidRPr="00D04861" w:rsidRDefault="00D04861" w:rsidP="00D04861">
      <w:pPr>
        <w:rPr>
          <w:sz w:val="22"/>
          <w:szCs w:val="22"/>
          <w:highlight w:val="yellow"/>
          <w:lang w:val="en-ZA"/>
        </w:rPr>
      </w:pPr>
    </w:p>
    <w:p w14:paraId="27DDAAB9" w14:textId="77777777" w:rsidR="00D04861" w:rsidRPr="00D04861" w:rsidRDefault="00D04861" w:rsidP="00D04861">
      <w:pPr>
        <w:rPr>
          <w:sz w:val="22"/>
          <w:szCs w:val="22"/>
          <w:highlight w:val="yellow"/>
          <w:lang w:val="en-ZA"/>
        </w:rPr>
      </w:pPr>
    </w:p>
    <w:p w14:paraId="7DEB313A" w14:textId="77777777" w:rsidR="00D04861" w:rsidRPr="00D04861" w:rsidRDefault="00D04861" w:rsidP="00D04861">
      <w:pPr>
        <w:rPr>
          <w:b/>
          <w:bCs/>
          <w:sz w:val="22"/>
          <w:szCs w:val="22"/>
          <w:highlight w:val="yellow"/>
          <w:lang w:val="en-ZA"/>
        </w:rPr>
      </w:pPr>
      <w:r w:rsidRPr="00D04861">
        <w:rPr>
          <w:b/>
          <w:bCs/>
          <w:sz w:val="22"/>
          <w:szCs w:val="22"/>
          <w:highlight w:val="yellow"/>
          <w:lang w:val="en-ZA"/>
        </w:rPr>
        <w:t>Grants making will involve the following process:</w:t>
      </w:r>
    </w:p>
    <w:p w14:paraId="42CC7CD9" w14:textId="09B418CB" w:rsidR="00D04861" w:rsidRPr="00D04861" w:rsidRDefault="00D04861" w:rsidP="00D04861">
      <w:pPr>
        <w:pStyle w:val="ListParagraph"/>
        <w:widowControl/>
        <w:numPr>
          <w:ilvl w:val="0"/>
          <w:numId w:val="49"/>
        </w:numPr>
        <w:spacing w:after="0"/>
        <w:rPr>
          <w:rFonts w:eastAsia="Times New Roman"/>
          <w:sz w:val="22"/>
          <w:highlight w:val="yellow"/>
        </w:rPr>
      </w:pPr>
      <w:r w:rsidRPr="00D04861">
        <w:rPr>
          <w:rFonts w:eastAsia="Times New Roman"/>
          <w:sz w:val="22"/>
          <w:highlight w:val="yellow"/>
        </w:rPr>
        <w:t>Negotiations</w:t>
      </w:r>
      <w:r w:rsidR="007252EB">
        <w:rPr>
          <w:rFonts w:eastAsia="Times New Roman"/>
          <w:sz w:val="22"/>
          <w:highlight w:val="yellow"/>
        </w:rPr>
        <w:t xml:space="preserve"> and co-creation</w:t>
      </w:r>
      <w:r w:rsidRPr="00D04861">
        <w:rPr>
          <w:rFonts w:eastAsia="Times New Roman"/>
          <w:sz w:val="22"/>
          <w:highlight w:val="yellow"/>
        </w:rPr>
        <w:t xml:space="preserve"> o</w:t>
      </w:r>
      <w:r w:rsidR="007252EB">
        <w:rPr>
          <w:rFonts w:eastAsia="Times New Roman"/>
          <w:sz w:val="22"/>
          <w:highlight w:val="yellow"/>
        </w:rPr>
        <w:t>f</w:t>
      </w:r>
      <w:r w:rsidRPr="00D04861">
        <w:rPr>
          <w:rFonts w:eastAsia="Times New Roman"/>
          <w:sz w:val="22"/>
          <w:highlight w:val="yellow"/>
        </w:rPr>
        <w:t xml:space="preserve"> plans, milestones, </w:t>
      </w:r>
      <w:proofErr w:type="gramStart"/>
      <w:r w:rsidRPr="00D04861">
        <w:rPr>
          <w:rFonts w:eastAsia="Times New Roman"/>
          <w:sz w:val="22"/>
          <w:highlight w:val="yellow"/>
        </w:rPr>
        <w:t>budgets</w:t>
      </w:r>
      <w:proofErr w:type="gramEnd"/>
      <w:r w:rsidRPr="00D04861">
        <w:rPr>
          <w:rFonts w:eastAsia="Times New Roman"/>
          <w:sz w:val="22"/>
          <w:highlight w:val="yellow"/>
        </w:rPr>
        <w:t xml:space="preserve"> and activities</w:t>
      </w:r>
    </w:p>
    <w:p w14:paraId="5C807CEE" w14:textId="77777777" w:rsidR="007252EB" w:rsidRDefault="00D04861" w:rsidP="00D04861">
      <w:pPr>
        <w:pStyle w:val="ListParagraph"/>
        <w:widowControl/>
        <w:numPr>
          <w:ilvl w:val="0"/>
          <w:numId w:val="49"/>
        </w:numPr>
        <w:spacing w:after="0"/>
        <w:rPr>
          <w:rFonts w:eastAsia="Times New Roman"/>
          <w:sz w:val="22"/>
          <w:highlight w:val="yellow"/>
        </w:rPr>
      </w:pPr>
      <w:r w:rsidRPr="00D04861">
        <w:rPr>
          <w:rFonts w:eastAsia="Times New Roman"/>
          <w:sz w:val="22"/>
          <w:highlight w:val="yellow"/>
        </w:rPr>
        <w:t>Appointment of grantees/Contracting</w:t>
      </w:r>
      <w:r w:rsidR="007252EB">
        <w:rPr>
          <w:rFonts w:eastAsia="Times New Roman"/>
          <w:sz w:val="22"/>
          <w:highlight w:val="yellow"/>
        </w:rPr>
        <w:t>.</w:t>
      </w:r>
    </w:p>
    <w:p w14:paraId="39DE778F" w14:textId="6DB53A0A" w:rsidR="00D04861" w:rsidRPr="00D04861" w:rsidRDefault="007252EB" w:rsidP="00D04861">
      <w:pPr>
        <w:pStyle w:val="ListParagraph"/>
        <w:widowControl/>
        <w:numPr>
          <w:ilvl w:val="0"/>
          <w:numId w:val="49"/>
        </w:numPr>
        <w:spacing w:after="0"/>
        <w:rPr>
          <w:rFonts w:eastAsia="Times New Roman"/>
          <w:sz w:val="22"/>
          <w:highlight w:val="yellow"/>
        </w:rPr>
      </w:pPr>
      <w:r>
        <w:rPr>
          <w:rFonts w:eastAsia="Times New Roman"/>
          <w:sz w:val="22"/>
          <w:highlight w:val="yellow"/>
        </w:rPr>
        <w:t xml:space="preserve"> Assessing capacity building needs</w:t>
      </w:r>
    </w:p>
    <w:p w14:paraId="269D83EA" w14:textId="1937E1C8" w:rsidR="00D04861" w:rsidRPr="00D04861" w:rsidRDefault="00D04861" w:rsidP="00D04861">
      <w:pPr>
        <w:pStyle w:val="ListParagraph"/>
        <w:widowControl/>
        <w:numPr>
          <w:ilvl w:val="0"/>
          <w:numId w:val="49"/>
        </w:numPr>
        <w:spacing w:after="0"/>
        <w:rPr>
          <w:rFonts w:eastAsia="Times New Roman"/>
          <w:sz w:val="22"/>
          <w:highlight w:val="yellow"/>
        </w:rPr>
      </w:pPr>
      <w:r w:rsidRPr="00D04861">
        <w:rPr>
          <w:rFonts w:eastAsia="Times New Roman"/>
          <w:sz w:val="22"/>
          <w:highlight w:val="yellow"/>
        </w:rPr>
        <w:t>Training in methodologies and tools, finance, monitoring and evaluation</w:t>
      </w:r>
    </w:p>
    <w:p w14:paraId="03DA6F1E" w14:textId="77777777" w:rsidR="00D04861" w:rsidRPr="00D04861" w:rsidRDefault="00D04861" w:rsidP="00D04861">
      <w:pPr>
        <w:pStyle w:val="ListParagraph"/>
        <w:widowControl/>
        <w:numPr>
          <w:ilvl w:val="0"/>
          <w:numId w:val="49"/>
        </w:numPr>
        <w:spacing w:after="0"/>
        <w:rPr>
          <w:rFonts w:eastAsia="Times New Roman"/>
          <w:sz w:val="22"/>
          <w:highlight w:val="yellow"/>
        </w:rPr>
      </w:pPr>
      <w:r w:rsidRPr="00D04861">
        <w:rPr>
          <w:rFonts w:eastAsia="Times New Roman"/>
          <w:sz w:val="22"/>
          <w:highlight w:val="yellow"/>
        </w:rPr>
        <w:t xml:space="preserve">Pay out in instalments based on reporting. </w:t>
      </w:r>
    </w:p>
    <w:p w14:paraId="6DE593D5" w14:textId="26205A29" w:rsidR="00D04861" w:rsidRDefault="00D04861" w:rsidP="00D04861">
      <w:pPr>
        <w:pStyle w:val="ListParagraph"/>
        <w:widowControl/>
        <w:numPr>
          <w:ilvl w:val="0"/>
          <w:numId w:val="49"/>
        </w:numPr>
        <w:spacing w:after="0"/>
        <w:rPr>
          <w:rFonts w:eastAsia="Times New Roman"/>
          <w:sz w:val="22"/>
          <w:highlight w:val="yellow"/>
        </w:rPr>
      </w:pPr>
      <w:r w:rsidRPr="00D04861">
        <w:rPr>
          <w:rFonts w:eastAsia="Times New Roman"/>
          <w:sz w:val="22"/>
          <w:highlight w:val="yellow"/>
        </w:rPr>
        <w:t>Ongoing implementation support</w:t>
      </w:r>
    </w:p>
    <w:p w14:paraId="422F9550" w14:textId="77777777" w:rsidR="007252EB" w:rsidRPr="00D04861" w:rsidRDefault="007252EB" w:rsidP="00D04861">
      <w:pPr>
        <w:pStyle w:val="ListParagraph"/>
        <w:widowControl/>
        <w:numPr>
          <w:ilvl w:val="0"/>
          <w:numId w:val="49"/>
        </w:numPr>
        <w:spacing w:after="0"/>
        <w:rPr>
          <w:rFonts w:eastAsia="Times New Roman"/>
          <w:sz w:val="22"/>
          <w:highlight w:val="yellow"/>
        </w:rPr>
      </w:pPr>
    </w:p>
    <w:p w14:paraId="1B654C97" w14:textId="77777777" w:rsidR="00D04861" w:rsidRPr="00D04861" w:rsidRDefault="00D04861" w:rsidP="00D04861">
      <w:pPr>
        <w:rPr>
          <w:sz w:val="22"/>
          <w:szCs w:val="22"/>
          <w:lang w:val="en-GB"/>
        </w:rPr>
      </w:pPr>
    </w:p>
    <w:p w14:paraId="26F797A6" w14:textId="6165332E" w:rsidR="00565B8E" w:rsidRPr="00F42215" w:rsidRDefault="00565B8E" w:rsidP="00565B8E">
      <w:pPr>
        <w:pStyle w:val="Heading2"/>
        <w:rPr>
          <w:rFonts w:ascii="Arial" w:hAnsi="Arial"/>
          <w:noProof/>
          <w:sz w:val="20"/>
          <w:szCs w:val="20"/>
          <w:lang w:val="da-DK"/>
        </w:rPr>
      </w:pPr>
    </w:p>
    <w:p w14:paraId="13809B9E" w14:textId="77777777" w:rsidR="00BF2279" w:rsidRPr="002A296C" w:rsidRDefault="00BF2279" w:rsidP="0056217D">
      <w:pPr>
        <w:pStyle w:val="Heading3"/>
        <w:rPr>
          <w:rFonts w:eastAsia="Calibri"/>
          <w:noProof/>
          <w:lang w:val="en-ZA"/>
        </w:rPr>
      </w:pPr>
      <w:bookmarkStart w:id="53" w:name="_Toc113951223"/>
      <w:r w:rsidRPr="002A296C">
        <w:rPr>
          <w:rFonts w:eastAsia="Calibri"/>
          <w:noProof/>
          <w:lang w:val="en-ZA"/>
        </w:rPr>
        <w:lastRenderedPageBreak/>
        <w:t>Objectives, activities, expected outputs and indicators</w:t>
      </w:r>
      <w:bookmarkEnd w:id="53"/>
    </w:p>
    <w:tbl>
      <w:tblPr>
        <w:tblStyle w:val="TableGrid1"/>
        <w:tblW w:w="0" w:type="auto"/>
        <w:tblLook w:val="04A0" w:firstRow="1" w:lastRow="0" w:firstColumn="1" w:lastColumn="0" w:noHBand="0" w:noVBand="1"/>
      </w:tblPr>
      <w:tblGrid>
        <w:gridCol w:w="9622"/>
      </w:tblGrid>
      <w:tr w:rsidR="00BF2279" w:rsidRPr="00BD388B" w14:paraId="44280065" w14:textId="77777777" w:rsidTr="00960B8C">
        <w:tc>
          <w:tcPr>
            <w:tcW w:w="0" w:type="auto"/>
          </w:tcPr>
          <w:p w14:paraId="47DEA9E1" w14:textId="50017CAC" w:rsidR="00BF2279" w:rsidRPr="0092497D" w:rsidRDefault="00BF2279" w:rsidP="00960B8C">
            <w:pPr>
              <w:rPr>
                <w:rFonts w:ascii="Calibri" w:hAnsi="Calibri" w:cs="Calibri"/>
                <w:noProof/>
                <w:color w:val="FF0000"/>
                <w:lang w:val="en-ZA"/>
              </w:rPr>
            </w:pPr>
            <w:r w:rsidRPr="0092497D">
              <w:rPr>
                <w:rFonts w:ascii="Calibri" w:hAnsi="Calibri" w:cs="Calibri"/>
                <w:b/>
                <w:noProof/>
                <w:lang w:val="en-ZA"/>
              </w:rPr>
              <w:t>Development Objective</w:t>
            </w:r>
            <w:r w:rsidRPr="0092497D">
              <w:rPr>
                <w:rFonts w:ascii="Calibri" w:hAnsi="Calibri" w:cs="Calibri"/>
                <w:noProof/>
                <w:lang w:val="en-ZA"/>
              </w:rPr>
              <w:t xml:space="preserve">: </w:t>
            </w:r>
            <w:r w:rsidRPr="0092497D">
              <w:rPr>
                <w:rFonts w:ascii="Calibri" w:hAnsi="Calibri" w:cs="Calibri"/>
                <w:lang w:val="en-ZA"/>
              </w:rPr>
              <w:t xml:space="preserve">Namibian communities and society are more accepting, inclusive, and safe for marginalised and/or vulnerable and excluded adolescents and young </w:t>
            </w:r>
            <w:r w:rsidR="00D41D2F" w:rsidRPr="0092497D">
              <w:rPr>
                <w:rFonts w:ascii="Calibri" w:hAnsi="Calibri" w:cs="Calibri"/>
                <w:lang w:val="en-ZA"/>
              </w:rPr>
              <w:t>people (</w:t>
            </w:r>
            <w:r w:rsidRPr="0092497D">
              <w:rPr>
                <w:rFonts w:ascii="Calibri" w:hAnsi="Calibri" w:cs="Calibri"/>
                <w:lang w:val="en-ZA"/>
              </w:rPr>
              <w:t xml:space="preserve">in particular, girls and young women and LGBT+ youth). </w:t>
            </w:r>
          </w:p>
        </w:tc>
      </w:tr>
      <w:tr w:rsidR="00BF2279" w:rsidRPr="00BD388B" w14:paraId="24B49AC1" w14:textId="77777777" w:rsidTr="00960B8C">
        <w:tc>
          <w:tcPr>
            <w:tcW w:w="0" w:type="auto"/>
            <w:shd w:val="clear" w:color="auto" w:fill="auto"/>
          </w:tcPr>
          <w:p w14:paraId="4DA3EC7F" w14:textId="7F393D3D" w:rsidR="00BF2279" w:rsidRPr="0092497D" w:rsidRDefault="00BF2279" w:rsidP="00960B8C">
            <w:pPr>
              <w:rPr>
                <w:rFonts w:ascii="Calibri" w:hAnsi="Calibri" w:cs="Calibri"/>
                <w:noProof/>
                <w:color w:val="FF0000"/>
                <w:lang w:val="en-ZA"/>
              </w:rPr>
            </w:pPr>
            <w:bookmarkStart w:id="54" w:name="_Hlk106091503"/>
            <w:r w:rsidRPr="0092497D">
              <w:rPr>
                <w:rFonts w:ascii="Calibri" w:hAnsi="Calibri" w:cs="Calibri"/>
                <w:b/>
                <w:noProof/>
                <w:lang w:val="en-ZA"/>
              </w:rPr>
              <w:t>Immediate Objective:</w:t>
            </w:r>
            <w:bookmarkStart w:id="55" w:name="_Hlk84932271"/>
            <w:r w:rsidRPr="0092497D">
              <w:rPr>
                <w:rFonts w:ascii="Calibri" w:hAnsi="Calibri" w:cs="Calibri"/>
                <w:b/>
                <w:noProof/>
                <w:lang w:val="en-ZA"/>
              </w:rPr>
              <w:t xml:space="preserve"> </w:t>
            </w:r>
            <w:r w:rsidRPr="0092497D">
              <w:rPr>
                <w:rFonts w:ascii="Calibri" w:hAnsi="Calibri" w:cs="Calibri"/>
                <w:bCs/>
                <w:noProof/>
                <w:lang w:val="en-ZA"/>
              </w:rPr>
              <w:t xml:space="preserve">Marginalised and </w:t>
            </w:r>
            <w:r w:rsidRPr="0092497D">
              <w:rPr>
                <w:rFonts w:ascii="Calibri" w:hAnsi="Calibri" w:cs="Calibri"/>
                <w:bCs/>
                <w:lang w:val="en-ZA"/>
              </w:rPr>
              <w:t>excluded adolescents and young people</w:t>
            </w:r>
            <w:r w:rsidRPr="0092497D">
              <w:rPr>
                <w:rFonts w:ascii="Calibri" w:hAnsi="Calibri" w:cs="Calibri"/>
                <w:bCs/>
                <w:noProof/>
                <w:lang w:val="en-ZA"/>
              </w:rPr>
              <w:t xml:space="preserve"> </w:t>
            </w:r>
            <w:r w:rsidR="004628B8">
              <w:rPr>
                <w:rFonts w:ascii="Calibri" w:hAnsi="Calibri" w:cs="Calibri"/>
                <w:bCs/>
                <w:noProof/>
                <w:lang w:val="en-ZA"/>
              </w:rPr>
              <w:t xml:space="preserve">in 5 communities </w:t>
            </w:r>
            <w:r w:rsidRPr="0092497D">
              <w:rPr>
                <w:rFonts w:ascii="Calibri" w:hAnsi="Calibri" w:cs="Calibri"/>
                <w:bCs/>
                <w:noProof/>
                <w:lang w:val="en-ZA"/>
              </w:rPr>
              <w:t xml:space="preserve">develop agency and voice, and feel safer and better included in the local communities through </w:t>
            </w:r>
            <w:r w:rsidR="00B91325">
              <w:rPr>
                <w:rFonts w:ascii="Calibri" w:hAnsi="Calibri" w:cs="Calibri"/>
                <w:bCs/>
                <w:noProof/>
                <w:lang w:val="en-ZA"/>
              </w:rPr>
              <w:t>t</w:t>
            </w:r>
            <w:r w:rsidRPr="0092497D">
              <w:rPr>
                <w:rFonts w:ascii="Calibri" w:hAnsi="Calibri" w:cs="Calibri"/>
                <w:bCs/>
                <w:noProof/>
                <w:lang w:val="en-ZA"/>
              </w:rPr>
              <w:t>he strengthening of the movement of  Civil society organisations representing or supporting them</w:t>
            </w:r>
            <w:r w:rsidRPr="0092497D">
              <w:rPr>
                <w:rFonts w:ascii="Calibri" w:hAnsi="Calibri" w:cs="Calibri"/>
                <w:bCs/>
                <w:color w:val="FF0000"/>
                <w:lang w:val="en-ZA"/>
              </w:rPr>
              <w:t xml:space="preserve">.  </w:t>
            </w:r>
            <w:bookmarkEnd w:id="55"/>
          </w:p>
        </w:tc>
      </w:tr>
      <w:bookmarkEnd w:id="54"/>
    </w:tbl>
    <w:p w14:paraId="7AF06144" w14:textId="5B86DA78" w:rsidR="00BF2279" w:rsidRDefault="00BF2279" w:rsidP="00BF2279">
      <w:pPr>
        <w:rPr>
          <w:rFonts w:ascii="Calibri" w:eastAsia="Calibri" w:hAnsi="Calibri" w:cs="Calibri"/>
          <w:sz w:val="20"/>
          <w:szCs w:val="20"/>
          <w:lang w:val="en-ZA"/>
        </w:rPr>
      </w:pPr>
    </w:p>
    <w:tbl>
      <w:tblPr>
        <w:tblStyle w:val="TableGrid1"/>
        <w:tblW w:w="0" w:type="auto"/>
        <w:tblLook w:val="04A0" w:firstRow="1" w:lastRow="0" w:firstColumn="1" w:lastColumn="0" w:noHBand="0" w:noVBand="1"/>
      </w:tblPr>
      <w:tblGrid>
        <w:gridCol w:w="4566"/>
        <w:gridCol w:w="5056"/>
      </w:tblGrid>
      <w:tr w:rsidR="000733A5" w:rsidRPr="00BD388B" w14:paraId="756BCA4B" w14:textId="77777777" w:rsidTr="00D127D8">
        <w:tc>
          <w:tcPr>
            <w:tcW w:w="0" w:type="auto"/>
            <w:gridSpan w:val="2"/>
            <w:shd w:val="clear" w:color="auto" w:fill="auto"/>
          </w:tcPr>
          <w:p w14:paraId="246297F1" w14:textId="66CDCFA6" w:rsidR="000733A5" w:rsidRPr="008B64BA" w:rsidRDefault="007F2AFE" w:rsidP="00D127D8">
            <w:pPr>
              <w:rPr>
                <w:rFonts w:ascii="Calibri" w:hAnsi="Calibri" w:cs="Calibri"/>
                <w:noProof/>
                <w:highlight w:val="yellow"/>
                <w:lang w:val="en-ZA"/>
              </w:rPr>
            </w:pPr>
            <w:r w:rsidRPr="00B41863">
              <w:rPr>
                <w:rFonts w:ascii="Calibri" w:hAnsi="Calibri" w:cs="Calibri"/>
                <w:b/>
                <w:noProof/>
                <w:highlight w:val="yellow"/>
                <w:lang w:val="en-ZA"/>
              </w:rPr>
              <w:t>Outcome 1</w:t>
            </w:r>
            <w:r w:rsidR="00C66AB4" w:rsidRPr="00B41863">
              <w:rPr>
                <w:rFonts w:ascii="Calibri" w:hAnsi="Calibri" w:cs="Calibri"/>
                <w:b/>
                <w:noProof/>
                <w:highlight w:val="yellow"/>
                <w:lang w:val="en-ZA"/>
              </w:rPr>
              <w:t xml:space="preserve">: </w:t>
            </w:r>
            <w:r w:rsidR="000733A5" w:rsidRPr="00B41863">
              <w:rPr>
                <w:rFonts w:ascii="Calibri" w:hAnsi="Calibri" w:cs="Calibri"/>
                <w:bCs/>
                <w:color w:val="FF0000"/>
                <w:highlight w:val="yellow"/>
                <w:lang w:val="en-ZA"/>
              </w:rPr>
              <w:t xml:space="preserve">  </w:t>
            </w:r>
            <w:r w:rsidR="008B64BA">
              <w:rPr>
                <w:rFonts w:ascii="Calibri" w:hAnsi="Calibri" w:cs="Calibri"/>
                <w:bCs/>
                <w:highlight w:val="yellow"/>
                <w:lang w:val="en-ZA"/>
              </w:rPr>
              <w:t>5 Civil society organisations</w:t>
            </w:r>
            <w:r w:rsidR="00A10896">
              <w:rPr>
                <w:rFonts w:ascii="Calibri" w:hAnsi="Calibri" w:cs="Calibri"/>
                <w:bCs/>
                <w:highlight w:val="yellow"/>
                <w:lang w:val="en-ZA"/>
              </w:rPr>
              <w:t xml:space="preserve"> representing or supporting</w:t>
            </w:r>
            <w:r w:rsidR="00C27A86">
              <w:rPr>
                <w:rFonts w:ascii="Calibri" w:hAnsi="Calibri" w:cs="Calibri"/>
                <w:bCs/>
                <w:highlight w:val="yellow"/>
                <w:lang w:val="en-ZA"/>
              </w:rPr>
              <w:t xml:space="preserve"> the target group</w:t>
            </w:r>
            <w:r w:rsidR="00C37478">
              <w:rPr>
                <w:rFonts w:ascii="Calibri" w:hAnsi="Calibri" w:cs="Calibri"/>
                <w:bCs/>
                <w:highlight w:val="yellow"/>
                <w:lang w:val="en-ZA"/>
              </w:rPr>
              <w:t>s have streng</w:t>
            </w:r>
            <w:r w:rsidR="0048324D">
              <w:rPr>
                <w:rFonts w:ascii="Calibri" w:hAnsi="Calibri" w:cs="Calibri"/>
                <w:bCs/>
                <w:highlight w:val="yellow"/>
                <w:lang w:val="en-ZA"/>
              </w:rPr>
              <w:t xml:space="preserve">thened their capacity </w:t>
            </w:r>
            <w:r w:rsidR="00DD3E7D">
              <w:rPr>
                <w:rFonts w:ascii="Calibri" w:hAnsi="Calibri" w:cs="Calibri"/>
                <w:bCs/>
                <w:highlight w:val="yellow"/>
                <w:lang w:val="en-ZA"/>
              </w:rPr>
              <w:t>to do</w:t>
            </w:r>
            <w:r w:rsidR="0048324D">
              <w:rPr>
                <w:rFonts w:ascii="Calibri" w:hAnsi="Calibri" w:cs="Calibri"/>
                <w:bCs/>
                <w:highlight w:val="yellow"/>
                <w:lang w:val="en-ZA"/>
              </w:rPr>
              <w:t xml:space="preserve"> </w:t>
            </w:r>
            <w:r w:rsidR="008C0EFE">
              <w:rPr>
                <w:rFonts w:ascii="Calibri" w:hAnsi="Calibri" w:cs="Calibri"/>
                <w:bCs/>
                <w:highlight w:val="yellow"/>
                <w:lang w:val="en-ZA"/>
              </w:rPr>
              <w:t>civic participation and systems monitoring</w:t>
            </w:r>
            <w:r w:rsidR="005E22FD">
              <w:rPr>
                <w:rFonts w:ascii="Calibri" w:hAnsi="Calibri" w:cs="Calibri"/>
                <w:bCs/>
                <w:highlight w:val="yellow"/>
                <w:lang w:val="en-ZA"/>
              </w:rPr>
              <w:t xml:space="preserve"> </w:t>
            </w:r>
            <w:r w:rsidR="007252EB">
              <w:rPr>
                <w:rFonts w:ascii="Calibri" w:hAnsi="Calibri" w:cs="Calibri"/>
                <w:bCs/>
                <w:highlight w:val="yellow"/>
                <w:lang w:val="en-ZA"/>
              </w:rPr>
              <w:t>work; advocacy</w:t>
            </w:r>
            <w:r w:rsidR="00AA792B">
              <w:rPr>
                <w:rFonts w:ascii="Calibri" w:hAnsi="Calibri" w:cs="Calibri"/>
                <w:bCs/>
                <w:highlight w:val="yellow"/>
                <w:lang w:val="en-ZA"/>
              </w:rPr>
              <w:t xml:space="preserve"> and media work</w:t>
            </w:r>
            <w:r w:rsidR="005E22FD">
              <w:rPr>
                <w:rFonts w:ascii="Calibri" w:hAnsi="Calibri" w:cs="Calibri"/>
                <w:bCs/>
                <w:highlight w:val="yellow"/>
                <w:lang w:val="en-ZA"/>
              </w:rPr>
              <w:t xml:space="preserve"> and </w:t>
            </w:r>
            <w:r w:rsidR="00CE201F">
              <w:rPr>
                <w:rFonts w:ascii="Calibri" w:hAnsi="Calibri" w:cs="Calibri"/>
                <w:bCs/>
                <w:highlight w:val="yellow"/>
                <w:lang w:val="en-ZA"/>
              </w:rPr>
              <w:t>fundraising work.</w:t>
            </w:r>
          </w:p>
        </w:tc>
      </w:tr>
      <w:tr w:rsidR="004C60DF" w:rsidRPr="0092497D" w14:paraId="6D01C0C8" w14:textId="77777777" w:rsidTr="00204274">
        <w:tc>
          <w:tcPr>
            <w:tcW w:w="4390" w:type="dxa"/>
            <w:shd w:val="clear" w:color="auto" w:fill="auto"/>
          </w:tcPr>
          <w:p w14:paraId="433CA5F8" w14:textId="77777777" w:rsidR="000733A5" w:rsidRPr="00B41863" w:rsidRDefault="000733A5" w:rsidP="00D127D8">
            <w:pPr>
              <w:rPr>
                <w:rFonts w:ascii="Calibri" w:hAnsi="Calibri" w:cs="Calibri"/>
                <w:noProof/>
                <w:highlight w:val="yellow"/>
                <w:lang w:val="en-ZA"/>
              </w:rPr>
            </w:pPr>
            <w:r w:rsidRPr="00B41863">
              <w:rPr>
                <w:rFonts w:ascii="Calibri" w:hAnsi="Calibri" w:cs="Calibri"/>
                <w:noProof/>
                <w:highlight w:val="yellow"/>
                <w:lang w:val="en-ZA"/>
              </w:rPr>
              <w:t>Success criteria/Indicators:</w:t>
            </w:r>
          </w:p>
          <w:p w14:paraId="2B49EA64" w14:textId="54F8239C" w:rsidR="000733A5" w:rsidRDefault="00390359" w:rsidP="000B6F72">
            <w:pPr>
              <w:widowControl w:val="0"/>
              <w:numPr>
                <w:ilvl w:val="0"/>
                <w:numId w:val="12"/>
              </w:numPr>
              <w:contextualSpacing/>
              <w:rPr>
                <w:rFonts w:ascii="Calibri" w:hAnsi="Calibri" w:cs="Calibri"/>
                <w:noProof/>
                <w:highlight w:val="yellow"/>
                <w:lang w:val="en-ZA"/>
              </w:rPr>
            </w:pPr>
            <w:r>
              <w:rPr>
                <w:rFonts w:ascii="Calibri" w:hAnsi="Calibri" w:cs="Calibri"/>
                <w:noProof/>
                <w:highlight w:val="yellow"/>
                <w:lang w:val="en-ZA"/>
              </w:rPr>
              <w:t>The involved CSOs</w:t>
            </w:r>
            <w:r w:rsidR="00B0054E">
              <w:rPr>
                <w:rFonts w:ascii="Calibri" w:hAnsi="Calibri" w:cs="Calibri"/>
                <w:noProof/>
                <w:highlight w:val="yellow"/>
                <w:lang w:val="en-ZA"/>
              </w:rPr>
              <w:t xml:space="preserve"> succesfully carry out the project activities under </w:t>
            </w:r>
            <w:r w:rsidR="003530BA">
              <w:rPr>
                <w:rFonts w:ascii="Calibri" w:hAnsi="Calibri" w:cs="Calibri"/>
                <w:noProof/>
                <w:highlight w:val="yellow"/>
                <w:lang w:val="en-ZA"/>
              </w:rPr>
              <w:t>Outcome 2.</w:t>
            </w:r>
          </w:p>
          <w:p w14:paraId="4E7AEBAA" w14:textId="7AD6B3C0" w:rsidR="00BA4221" w:rsidRPr="00A14A2B" w:rsidRDefault="00BA4221" w:rsidP="000B6F72">
            <w:pPr>
              <w:widowControl w:val="0"/>
              <w:numPr>
                <w:ilvl w:val="0"/>
                <w:numId w:val="12"/>
              </w:numPr>
              <w:contextualSpacing/>
              <w:rPr>
                <w:rFonts w:ascii="Calibri" w:hAnsi="Calibri" w:cs="Calibri"/>
                <w:noProof/>
                <w:highlight w:val="yellow"/>
                <w:lang w:val="en-ZA"/>
              </w:rPr>
            </w:pPr>
            <w:r w:rsidRPr="00A14A2B">
              <w:rPr>
                <w:rFonts w:ascii="Calibri" w:hAnsi="Calibri" w:cs="Calibri"/>
                <w:noProof/>
                <w:highlight w:val="yellow"/>
                <w:lang w:val="en-ZA"/>
              </w:rPr>
              <w:t xml:space="preserve">The involved CSOs have regular scheduled meetings with relevant dutybearers </w:t>
            </w:r>
            <w:r w:rsidR="00C9433A" w:rsidRPr="00A14A2B">
              <w:rPr>
                <w:rFonts w:ascii="Calibri" w:hAnsi="Calibri" w:cs="Calibri"/>
                <w:noProof/>
                <w:highlight w:val="yellow"/>
                <w:lang w:val="en-ZA"/>
              </w:rPr>
              <w:t>as compared to meetings from time to another.</w:t>
            </w:r>
            <w:r w:rsidRPr="00A14A2B">
              <w:rPr>
                <w:rFonts w:ascii="Calibri" w:hAnsi="Calibri" w:cs="Calibri"/>
                <w:noProof/>
                <w:highlight w:val="yellow"/>
                <w:lang w:val="en-ZA"/>
              </w:rPr>
              <w:t xml:space="preserve"> </w:t>
            </w:r>
          </w:p>
          <w:p w14:paraId="37BF9D4D" w14:textId="77777777" w:rsidR="00A25754" w:rsidRPr="00BA4221" w:rsidRDefault="008C509F" w:rsidP="000B6F72">
            <w:pPr>
              <w:widowControl w:val="0"/>
              <w:numPr>
                <w:ilvl w:val="0"/>
                <w:numId w:val="12"/>
              </w:numPr>
              <w:contextualSpacing/>
              <w:rPr>
                <w:rFonts w:ascii="Calibri" w:hAnsi="Calibri" w:cs="Calibri"/>
                <w:noProof/>
                <w:highlight w:val="yellow"/>
                <w:lang w:val="en-US"/>
              </w:rPr>
            </w:pPr>
            <w:r>
              <w:rPr>
                <w:rFonts w:ascii="Calibri" w:hAnsi="Calibri" w:cs="Calibri"/>
                <w:noProof/>
                <w:highlight w:val="yellow"/>
                <w:lang w:val="en-ZA"/>
              </w:rPr>
              <w:t xml:space="preserve">At least 3 of the involved CSOs successfully engage with local radio stations about </w:t>
            </w:r>
            <w:r w:rsidR="00A25754" w:rsidRPr="00E111FF">
              <w:rPr>
                <w:rFonts w:ascii="Calibri" w:eastAsia="Calibri" w:hAnsi="Calibri" w:cs="Calibri"/>
                <w:noProof/>
                <w:highlight w:val="yellow"/>
                <w:lang w:val="en-ZA"/>
              </w:rPr>
              <w:t xml:space="preserve">series of conversations around </w:t>
            </w:r>
            <w:r w:rsidR="00A25754">
              <w:rPr>
                <w:rFonts w:ascii="Calibri" w:eastAsia="Calibri" w:hAnsi="Calibri" w:cs="Calibri"/>
                <w:noProof/>
                <w:highlight w:val="yellow"/>
                <w:lang w:val="en-ZA"/>
              </w:rPr>
              <w:t xml:space="preserve">e.g. </w:t>
            </w:r>
            <w:r w:rsidR="00A25754" w:rsidRPr="00E111FF">
              <w:rPr>
                <w:rFonts w:ascii="Calibri" w:eastAsia="Calibri" w:hAnsi="Calibri" w:cs="Calibri"/>
                <w:noProof/>
                <w:highlight w:val="yellow"/>
                <w:lang w:val="en-ZA"/>
              </w:rPr>
              <w:t xml:space="preserve">young marriages, how to acces the local offices of  Ombudsman, how to access the </w:t>
            </w:r>
            <w:r w:rsidR="00A25754">
              <w:rPr>
                <w:rFonts w:ascii="Calibri" w:eastAsia="Calibri" w:hAnsi="Calibri" w:cs="Calibri"/>
                <w:noProof/>
                <w:highlight w:val="yellow"/>
                <w:lang w:val="en-ZA"/>
              </w:rPr>
              <w:t>g</w:t>
            </w:r>
            <w:r w:rsidR="00A25754" w:rsidRPr="00E111FF">
              <w:rPr>
                <w:rFonts w:ascii="Calibri" w:eastAsia="Calibri" w:hAnsi="Calibri" w:cs="Calibri"/>
                <w:noProof/>
                <w:highlight w:val="yellow"/>
                <w:lang w:val="en-ZA"/>
              </w:rPr>
              <w:t>bv units etc</w:t>
            </w:r>
          </w:p>
          <w:p w14:paraId="458F5FEF" w14:textId="77777777" w:rsidR="00AF5C2D" w:rsidRPr="00A14A2B" w:rsidRDefault="00AF5C2D" w:rsidP="00AF5C2D">
            <w:pPr>
              <w:widowControl w:val="0"/>
              <w:numPr>
                <w:ilvl w:val="0"/>
                <w:numId w:val="12"/>
              </w:numPr>
              <w:contextualSpacing/>
              <w:rPr>
                <w:rFonts w:ascii="Calibri" w:hAnsi="Calibri" w:cs="Calibri"/>
                <w:noProof/>
                <w:highlight w:val="yellow"/>
                <w:lang w:val="en-ZA"/>
              </w:rPr>
            </w:pPr>
            <w:r w:rsidRPr="00A14A2B">
              <w:rPr>
                <w:rFonts w:ascii="Calibri" w:hAnsi="Calibri" w:cs="Calibri"/>
                <w:noProof/>
                <w:highlight w:val="yellow"/>
                <w:lang w:val="en-ZA"/>
              </w:rPr>
              <w:t>The involved CSOs</w:t>
            </w:r>
            <w:r>
              <w:rPr>
                <w:rFonts w:ascii="Calibri" w:hAnsi="Calibri" w:cs="Calibri"/>
                <w:noProof/>
                <w:highlight w:val="yellow"/>
                <w:lang w:val="en-ZA"/>
              </w:rPr>
              <w:t xml:space="preserve"> expand with 100%</w:t>
            </w:r>
            <w:r w:rsidRPr="00A14A2B">
              <w:rPr>
                <w:rFonts w:ascii="Calibri" w:hAnsi="Calibri" w:cs="Calibri"/>
                <w:noProof/>
                <w:highlight w:val="yellow"/>
                <w:lang w:val="en-ZA"/>
              </w:rPr>
              <w:t xml:space="preserve"> their usage of social media for internal as well as external communication.</w:t>
            </w:r>
          </w:p>
          <w:p w14:paraId="5AB19782" w14:textId="77777777" w:rsidR="00752C05" w:rsidRPr="00BA4221" w:rsidRDefault="009D00C6" w:rsidP="000B6F72">
            <w:pPr>
              <w:widowControl w:val="0"/>
              <w:numPr>
                <w:ilvl w:val="0"/>
                <w:numId w:val="12"/>
              </w:numPr>
              <w:contextualSpacing/>
              <w:rPr>
                <w:rFonts w:ascii="Calibri" w:hAnsi="Calibri" w:cs="Calibri"/>
                <w:noProof/>
                <w:highlight w:val="yellow"/>
                <w:lang w:val="en-US"/>
              </w:rPr>
            </w:pPr>
            <w:r w:rsidRPr="009D00C6">
              <w:rPr>
                <w:rFonts w:ascii="Calibri" w:hAnsi="Calibri" w:cs="Calibri"/>
                <w:noProof/>
                <w:highlight w:val="yellow"/>
                <w:lang w:val="en-US"/>
              </w:rPr>
              <w:t>In</w:t>
            </w:r>
            <w:r>
              <w:rPr>
                <w:rFonts w:ascii="Calibri" w:hAnsi="Calibri" w:cs="Calibri"/>
                <w:noProof/>
                <w:highlight w:val="yellow"/>
                <w:lang w:val="en-US"/>
              </w:rPr>
              <w:t xml:space="preserve"> the last 6 months of the project the involved CSO</w:t>
            </w:r>
            <w:r w:rsidR="002711EE">
              <w:rPr>
                <w:rFonts w:ascii="Calibri" w:hAnsi="Calibri" w:cs="Calibri"/>
                <w:noProof/>
                <w:highlight w:val="yellow"/>
                <w:lang w:val="en-US"/>
              </w:rPr>
              <w:t xml:space="preserve">s submit 50% more funding proposals than </w:t>
            </w:r>
            <w:r w:rsidR="00752C05">
              <w:rPr>
                <w:rFonts w:ascii="Calibri" w:hAnsi="Calibri" w:cs="Calibri"/>
                <w:noProof/>
                <w:highlight w:val="yellow"/>
                <w:lang w:val="en-US"/>
              </w:rPr>
              <w:t>before and of higher quality.</w:t>
            </w:r>
          </w:p>
          <w:p w14:paraId="4E334645" w14:textId="038CD185" w:rsidR="003530BA" w:rsidRPr="00BA4221" w:rsidRDefault="003530BA" w:rsidP="00DC349B">
            <w:pPr>
              <w:widowControl w:val="0"/>
              <w:ind w:firstLine="0"/>
              <w:contextualSpacing/>
              <w:rPr>
                <w:rFonts w:ascii="Calibri" w:hAnsi="Calibri" w:cs="Calibri"/>
                <w:noProof/>
                <w:highlight w:val="yellow"/>
                <w:lang w:val="en-US"/>
              </w:rPr>
            </w:pPr>
          </w:p>
        </w:tc>
        <w:tc>
          <w:tcPr>
            <w:tcW w:w="5232" w:type="dxa"/>
            <w:shd w:val="clear" w:color="auto" w:fill="auto"/>
          </w:tcPr>
          <w:p w14:paraId="201B9218" w14:textId="77777777" w:rsidR="000733A5" w:rsidRPr="00B41863" w:rsidRDefault="000733A5" w:rsidP="00D127D8">
            <w:pPr>
              <w:rPr>
                <w:rFonts w:ascii="Calibri" w:hAnsi="Calibri" w:cs="Calibri"/>
                <w:noProof/>
                <w:highlight w:val="yellow"/>
                <w:lang w:val="en-ZA"/>
              </w:rPr>
            </w:pPr>
            <w:r w:rsidRPr="00B41863">
              <w:rPr>
                <w:rFonts w:ascii="Calibri" w:hAnsi="Calibri" w:cs="Calibri"/>
                <w:noProof/>
                <w:highlight w:val="yellow"/>
                <w:lang w:val="en-ZA"/>
              </w:rPr>
              <w:t>Means of verification:</w:t>
            </w:r>
          </w:p>
          <w:p w14:paraId="5CC07211" w14:textId="77777777" w:rsidR="000733A5" w:rsidRPr="00B41863" w:rsidRDefault="000733A5" w:rsidP="00D127D8">
            <w:pPr>
              <w:widowControl w:val="0"/>
              <w:numPr>
                <w:ilvl w:val="0"/>
                <w:numId w:val="13"/>
              </w:numPr>
              <w:contextualSpacing/>
              <w:rPr>
                <w:rFonts w:ascii="Calibri" w:hAnsi="Calibri" w:cs="Calibri"/>
                <w:noProof/>
                <w:highlight w:val="yellow"/>
                <w:lang w:val="en-ZA"/>
              </w:rPr>
            </w:pPr>
            <w:r w:rsidRPr="00B41863">
              <w:rPr>
                <w:rFonts w:ascii="Calibri" w:hAnsi="Calibri" w:cs="Calibri"/>
                <w:highlight w:val="yellow"/>
                <w:lang w:val="en-ZA"/>
              </w:rPr>
              <w:t>Partner monitoring reports that document</w:t>
            </w:r>
            <w:r w:rsidRPr="00B41863">
              <w:rPr>
                <w:rFonts w:ascii="Calibri" w:hAnsi="Calibri" w:cs="Calibri"/>
                <w:noProof/>
                <w:highlight w:val="yellow"/>
                <w:lang w:val="en-ZA"/>
              </w:rPr>
              <w:t xml:space="preserve"> progress against their action plans</w:t>
            </w:r>
          </w:p>
          <w:p w14:paraId="5DE4DDBA" w14:textId="2C5D2FA6" w:rsidR="000733A5" w:rsidRPr="00B41863" w:rsidRDefault="00462BF1" w:rsidP="00D127D8">
            <w:pPr>
              <w:widowControl w:val="0"/>
              <w:numPr>
                <w:ilvl w:val="0"/>
                <w:numId w:val="13"/>
              </w:numPr>
              <w:contextualSpacing/>
              <w:rPr>
                <w:rFonts w:ascii="Calibri" w:hAnsi="Calibri" w:cs="Calibri"/>
                <w:noProof/>
                <w:highlight w:val="yellow"/>
                <w:lang w:val="en-ZA"/>
              </w:rPr>
            </w:pPr>
            <w:r>
              <w:rPr>
                <w:rFonts w:ascii="Calibri" w:hAnsi="Calibri" w:cs="Calibri"/>
                <w:noProof/>
                <w:highlight w:val="yellow"/>
                <w:lang w:val="en-ZA"/>
              </w:rPr>
              <w:t>Capacity building plan</w:t>
            </w:r>
            <w:r w:rsidR="002E3C43">
              <w:rPr>
                <w:rFonts w:ascii="Calibri" w:hAnsi="Calibri" w:cs="Calibri"/>
                <w:noProof/>
                <w:highlight w:val="yellow"/>
                <w:lang w:val="en-ZA"/>
              </w:rPr>
              <w:t>, w</w:t>
            </w:r>
            <w:r w:rsidR="000733A5" w:rsidRPr="00B41863">
              <w:rPr>
                <w:rFonts w:ascii="Calibri" w:hAnsi="Calibri" w:cs="Calibri"/>
                <w:noProof/>
                <w:highlight w:val="yellow"/>
                <w:lang w:val="en-ZA"/>
              </w:rPr>
              <w:t>orkshop and activity reports</w:t>
            </w:r>
            <w:r w:rsidR="00A14A2B">
              <w:rPr>
                <w:rFonts w:ascii="Calibri" w:hAnsi="Calibri" w:cs="Calibri"/>
                <w:noProof/>
                <w:highlight w:val="yellow"/>
                <w:lang w:val="en-ZA"/>
              </w:rPr>
              <w:t xml:space="preserve"> capturing knowledge and skills before and after the workshop</w:t>
            </w:r>
          </w:p>
          <w:p w14:paraId="301B0376" w14:textId="655C3E63" w:rsidR="000733A5" w:rsidRPr="00B41863" w:rsidRDefault="000733A5" w:rsidP="00D127D8">
            <w:pPr>
              <w:widowControl w:val="0"/>
              <w:numPr>
                <w:ilvl w:val="0"/>
                <w:numId w:val="13"/>
              </w:numPr>
              <w:contextualSpacing/>
              <w:rPr>
                <w:rFonts w:ascii="Calibri" w:hAnsi="Calibri" w:cs="Calibri"/>
                <w:noProof/>
                <w:highlight w:val="yellow"/>
                <w:lang w:val="en-ZA"/>
              </w:rPr>
            </w:pPr>
            <w:r w:rsidRPr="00B41863">
              <w:rPr>
                <w:rFonts w:ascii="Calibri" w:hAnsi="Calibri" w:cs="Calibri"/>
                <w:noProof/>
                <w:highlight w:val="yellow"/>
                <w:lang w:val="en-ZA"/>
              </w:rPr>
              <w:t>Focus group discussions with local stakeholders</w:t>
            </w:r>
            <w:r w:rsidR="00410A89">
              <w:rPr>
                <w:rFonts w:ascii="Calibri" w:hAnsi="Calibri" w:cs="Calibri"/>
                <w:noProof/>
                <w:highlight w:val="yellow"/>
                <w:lang w:val="en-ZA"/>
              </w:rPr>
              <w:t xml:space="preserve"> in start up phase and as a part of the review </w:t>
            </w:r>
            <w:r w:rsidR="00C373C2">
              <w:rPr>
                <w:rFonts w:ascii="Calibri" w:hAnsi="Calibri" w:cs="Calibri"/>
                <w:noProof/>
                <w:highlight w:val="yellow"/>
                <w:lang w:val="en-ZA"/>
              </w:rPr>
              <w:t>process</w:t>
            </w:r>
          </w:p>
          <w:p w14:paraId="17608602" w14:textId="77777777" w:rsidR="000733A5" w:rsidRPr="00B41863" w:rsidRDefault="000733A5" w:rsidP="00D127D8">
            <w:pPr>
              <w:widowControl w:val="0"/>
              <w:numPr>
                <w:ilvl w:val="0"/>
                <w:numId w:val="13"/>
              </w:numPr>
              <w:contextualSpacing/>
              <w:rPr>
                <w:rFonts w:ascii="Calibri" w:hAnsi="Calibri" w:cs="Calibri"/>
                <w:noProof/>
                <w:highlight w:val="yellow"/>
                <w:lang w:val="en-ZA"/>
              </w:rPr>
            </w:pPr>
            <w:r w:rsidRPr="00B41863">
              <w:rPr>
                <w:rFonts w:ascii="Calibri" w:hAnsi="Calibri" w:cs="Calibri"/>
                <w:noProof/>
                <w:highlight w:val="yellow"/>
                <w:lang w:val="en-ZA"/>
              </w:rPr>
              <w:t>Review report</w:t>
            </w:r>
          </w:p>
        </w:tc>
      </w:tr>
    </w:tbl>
    <w:p w14:paraId="3DB11616" w14:textId="6F77A9C2" w:rsidR="00BF2279" w:rsidRPr="0092497D" w:rsidRDefault="00BF2279" w:rsidP="00BF2279">
      <w:pPr>
        <w:rPr>
          <w:rFonts w:ascii="Calibri" w:eastAsia="Calibri" w:hAnsi="Calibri" w:cs="Calibri"/>
          <w:sz w:val="20"/>
          <w:szCs w:val="20"/>
          <w:lang w:val="en-ZA"/>
        </w:rPr>
      </w:pPr>
      <w:r>
        <w:rPr>
          <w:rFonts w:ascii="Calibri" w:eastAsia="Calibri" w:hAnsi="Calibri" w:cs="Calibri"/>
          <w:sz w:val="20"/>
          <w:szCs w:val="20"/>
          <w:lang w:val="en-ZA"/>
        </w:rPr>
        <w:t xml:space="preserve"> </w:t>
      </w:r>
    </w:p>
    <w:tbl>
      <w:tblPr>
        <w:tblStyle w:val="TableGrid"/>
        <w:tblW w:w="9634" w:type="dxa"/>
        <w:tblLook w:val="04A0" w:firstRow="1" w:lastRow="0" w:firstColumn="1" w:lastColumn="0" w:noHBand="0" w:noVBand="1"/>
      </w:tblPr>
      <w:tblGrid>
        <w:gridCol w:w="4461"/>
        <w:gridCol w:w="5173"/>
      </w:tblGrid>
      <w:tr w:rsidR="00BF2279" w:rsidRPr="0092497D" w14:paraId="498B09C3" w14:textId="77777777" w:rsidTr="003710FD">
        <w:tc>
          <w:tcPr>
            <w:tcW w:w="4461" w:type="dxa"/>
            <w:shd w:val="clear" w:color="auto" w:fill="BFBFBF"/>
          </w:tcPr>
          <w:p w14:paraId="4DA914FF" w14:textId="3A2F8969" w:rsidR="00BF2279" w:rsidRPr="0092497D" w:rsidRDefault="00BF2279" w:rsidP="00960B8C">
            <w:pPr>
              <w:rPr>
                <w:rFonts w:ascii="Calibri" w:eastAsia="Calibri" w:hAnsi="Calibri" w:cs="Calibri"/>
                <w:b/>
                <w:bCs/>
                <w:sz w:val="20"/>
                <w:szCs w:val="20"/>
                <w:lang w:val="en-ZA"/>
              </w:rPr>
            </w:pPr>
            <w:bookmarkStart w:id="56" w:name="_Hlk106091707"/>
            <w:r w:rsidRPr="0092497D">
              <w:rPr>
                <w:rFonts w:ascii="Calibri" w:eastAsia="Calibri" w:hAnsi="Calibri" w:cs="Calibri"/>
                <w:b/>
                <w:bCs/>
                <w:sz w:val="20"/>
                <w:szCs w:val="20"/>
                <w:lang w:val="en-ZA"/>
              </w:rPr>
              <w:t>Outputs</w:t>
            </w:r>
            <w:r w:rsidR="0040163C">
              <w:rPr>
                <w:rFonts w:ascii="Calibri" w:eastAsia="Calibri" w:hAnsi="Calibri" w:cs="Calibri"/>
                <w:b/>
                <w:bCs/>
                <w:sz w:val="20"/>
                <w:szCs w:val="20"/>
                <w:lang w:val="en-ZA"/>
              </w:rPr>
              <w:t xml:space="preserve"> related to Outcome 1</w:t>
            </w:r>
          </w:p>
        </w:tc>
        <w:tc>
          <w:tcPr>
            <w:tcW w:w="5173" w:type="dxa"/>
            <w:shd w:val="clear" w:color="auto" w:fill="BFBFBF"/>
          </w:tcPr>
          <w:p w14:paraId="6A974DA8" w14:textId="77777777" w:rsidR="00BF2279" w:rsidRPr="0092497D" w:rsidRDefault="00BF2279" w:rsidP="00960B8C">
            <w:pPr>
              <w:rPr>
                <w:rFonts w:ascii="Calibri" w:eastAsia="Calibri" w:hAnsi="Calibri" w:cs="Calibri"/>
                <w:b/>
                <w:bCs/>
                <w:sz w:val="20"/>
                <w:szCs w:val="20"/>
                <w:lang w:val="en-ZA"/>
              </w:rPr>
            </w:pPr>
            <w:r w:rsidRPr="0092497D">
              <w:rPr>
                <w:rFonts w:ascii="Calibri" w:eastAsia="Calibri" w:hAnsi="Calibri" w:cs="Calibri"/>
                <w:b/>
                <w:bCs/>
                <w:sz w:val="20"/>
                <w:szCs w:val="20"/>
                <w:lang w:val="en-ZA"/>
              </w:rPr>
              <w:t>Activities</w:t>
            </w:r>
          </w:p>
        </w:tc>
      </w:tr>
      <w:bookmarkEnd w:id="56"/>
      <w:tr w:rsidR="00BF2279" w:rsidRPr="00BD388B" w14:paraId="69F0CDCB" w14:textId="77777777" w:rsidTr="003710FD">
        <w:tc>
          <w:tcPr>
            <w:tcW w:w="4461" w:type="dxa"/>
          </w:tcPr>
          <w:p w14:paraId="76024E9C" w14:textId="13B3C491" w:rsidR="00BF2279" w:rsidRPr="0092497D" w:rsidRDefault="00BF2279" w:rsidP="00BF2279">
            <w:pPr>
              <w:pStyle w:val="ListParagraph"/>
              <w:widowControl/>
              <w:numPr>
                <w:ilvl w:val="0"/>
                <w:numId w:val="31"/>
              </w:numPr>
              <w:spacing w:after="0" w:line="240" w:lineRule="auto"/>
              <w:rPr>
                <w:rFonts w:ascii="Calibri" w:eastAsia="Calibri" w:hAnsi="Calibri" w:cs="Calibri"/>
                <w:noProof/>
                <w:sz w:val="20"/>
                <w:szCs w:val="20"/>
                <w:lang w:val="en-ZA"/>
              </w:rPr>
            </w:pPr>
            <w:r>
              <w:rPr>
                <w:rFonts w:ascii="Calibri" w:eastAsia="Calibri" w:hAnsi="Calibri" w:cs="Calibri"/>
                <w:noProof/>
                <w:sz w:val="20"/>
                <w:szCs w:val="20"/>
                <w:lang w:val="en-ZA"/>
              </w:rPr>
              <w:t xml:space="preserve">Initial detailed planning </w:t>
            </w:r>
            <w:r w:rsidR="002A296C">
              <w:rPr>
                <w:rFonts w:ascii="Calibri" w:eastAsia="Calibri" w:hAnsi="Calibri" w:cs="Calibri"/>
                <w:noProof/>
                <w:sz w:val="20"/>
                <w:szCs w:val="20"/>
                <w:lang w:val="en-ZA"/>
              </w:rPr>
              <w:t xml:space="preserve">preparation </w:t>
            </w:r>
            <w:r>
              <w:rPr>
                <w:rFonts w:ascii="Calibri" w:eastAsia="Calibri" w:hAnsi="Calibri" w:cs="Calibri"/>
                <w:noProof/>
                <w:sz w:val="20"/>
                <w:szCs w:val="20"/>
                <w:lang w:val="en-ZA"/>
              </w:rPr>
              <w:t>work completed, base line established for envisaged work, capacity needs verified, plans worked out</w:t>
            </w:r>
          </w:p>
        </w:tc>
        <w:tc>
          <w:tcPr>
            <w:tcW w:w="5173" w:type="dxa"/>
          </w:tcPr>
          <w:p w14:paraId="518EAF88" w14:textId="37E8CA36" w:rsidR="00BF2279" w:rsidRPr="0092497D" w:rsidRDefault="008E1948" w:rsidP="00BF2279">
            <w:pPr>
              <w:pStyle w:val="ListParagraph"/>
              <w:widowControl/>
              <w:numPr>
                <w:ilvl w:val="1"/>
                <w:numId w:val="31"/>
              </w:numPr>
              <w:spacing w:after="0" w:line="240" w:lineRule="auto"/>
              <w:rPr>
                <w:rFonts w:ascii="Calibri" w:eastAsia="Calibri" w:hAnsi="Calibri" w:cs="Calibri"/>
                <w:sz w:val="20"/>
                <w:szCs w:val="20"/>
                <w:lang w:val="en-ZA"/>
              </w:rPr>
            </w:pPr>
            <w:r w:rsidRPr="00034050">
              <w:rPr>
                <w:rFonts w:ascii="Calibri" w:eastAsia="Calibri" w:hAnsi="Calibri" w:cs="Calibri"/>
                <w:sz w:val="20"/>
                <w:szCs w:val="20"/>
                <w:lang w:val="en-ZA"/>
              </w:rPr>
              <w:t>Planning w</w:t>
            </w:r>
            <w:r w:rsidR="00BF2279" w:rsidRPr="00034050">
              <w:rPr>
                <w:rFonts w:ascii="Calibri" w:eastAsia="Calibri" w:hAnsi="Calibri" w:cs="Calibri"/>
                <w:sz w:val="20"/>
                <w:szCs w:val="20"/>
                <w:lang w:val="en-ZA"/>
              </w:rPr>
              <w:t>orkshops with partner CSOs</w:t>
            </w:r>
            <w:r w:rsidR="000E11CC">
              <w:rPr>
                <w:rFonts w:ascii="Calibri" w:eastAsia="Calibri" w:hAnsi="Calibri" w:cs="Calibri"/>
                <w:sz w:val="20"/>
                <w:szCs w:val="20"/>
                <w:lang w:val="en-ZA"/>
              </w:rPr>
              <w:t xml:space="preserve"> to discuss capacity needs, timeline planning for activities</w:t>
            </w:r>
            <w:r w:rsidR="00034050">
              <w:rPr>
                <w:rFonts w:ascii="Calibri" w:eastAsia="Calibri" w:hAnsi="Calibri" w:cs="Calibri"/>
                <w:sz w:val="20"/>
                <w:szCs w:val="20"/>
                <w:lang w:val="en-ZA"/>
              </w:rPr>
              <w:t>.</w:t>
            </w:r>
          </w:p>
        </w:tc>
      </w:tr>
      <w:tr w:rsidR="00BF2279" w:rsidRPr="00BD388B" w14:paraId="2882FCEB" w14:textId="77777777" w:rsidTr="003710FD">
        <w:tc>
          <w:tcPr>
            <w:tcW w:w="4461" w:type="dxa"/>
          </w:tcPr>
          <w:p w14:paraId="5613D955" w14:textId="77777777" w:rsidR="00BF2279" w:rsidRPr="0092497D" w:rsidRDefault="00BF2279" w:rsidP="00BF2279">
            <w:pPr>
              <w:pStyle w:val="ListParagraph"/>
              <w:widowControl/>
              <w:numPr>
                <w:ilvl w:val="0"/>
                <w:numId w:val="31"/>
              </w:numPr>
              <w:spacing w:after="0" w:line="240" w:lineRule="auto"/>
              <w:rPr>
                <w:rFonts w:ascii="Calibri" w:eastAsia="Calibri" w:hAnsi="Calibri" w:cs="Calibri"/>
                <w:noProof/>
                <w:sz w:val="20"/>
                <w:szCs w:val="20"/>
                <w:lang w:val="en-ZA"/>
              </w:rPr>
            </w:pPr>
            <w:r>
              <w:rPr>
                <w:rFonts w:ascii="Calibri" w:eastAsia="Calibri" w:hAnsi="Calibri" w:cs="Calibri"/>
                <w:noProof/>
                <w:sz w:val="20"/>
                <w:szCs w:val="20"/>
                <w:lang w:val="en-ZA"/>
              </w:rPr>
              <w:t xml:space="preserve">Building capacity in PVs CSO partners  to enable civic participation and in systems monitoring. </w:t>
            </w:r>
          </w:p>
        </w:tc>
        <w:tc>
          <w:tcPr>
            <w:tcW w:w="5173" w:type="dxa"/>
          </w:tcPr>
          <w:p w14:paraId="6725999D" w14:textId="3DE61B66" w:rsidR="00BF2279" w:rsidRPr="0092497D" w:rsidRDefault="00BF2279" w:rsidP="00027D6D">
            <w:pPr>
              <w:pStyle w:val="ListParagraph"/>
              <w:widowControl/>
              <w:numPr>
                <w:ilvl w:val="1"/>
                <w:numId w:val="31"/>
              </w:numPr>
              <w:spacing w:after="0" w:line="240" w:lineRule="auto"/>
              <w:rPr>
                <w:rFonts w:ascii="Calibri" w:eastAsia="Calibri" w:hAnsi="Calibri" w:cs="Calibri"/>
                <w:noProof/>
                <w:sz w:val="20"/>
                <w:szCs w:val="20"/>
                <w:lang w:val="en-ZA"/>
              </w:rPr>
            </w:pPr>
            <w:r w:rsidRPr="0092497D">
              <w:rPr>
                <w:rFonts w:ascii="Calibri" w:eastAsia="Calibri" w:hAnsi="Calibri" w:cs="Calibri"/>
                <w:noProof/>
                <w:sz w:val="20"/>
                <w:szCs w:val="20"/>
                <w:lang w:val="en-ZA"/>
              </w:rPr>
              <w:t xml:space="preserve">Training of </w:t>
            </w:r>
            <w:r>
              <w:rPr>
                <w:rFonts w:ascii="Calibri" w:eastAsia="Calibri" w:hAnsi="Calibri" w:cs="Calibri"/>
                <w:noProof/>
                <w:sz w:val="20"/>
                <w:szCs w:val="20"/>
                <w:lang w:val="en-ZA"/>
              </w:rPr>
              <w:t>CSO leaders and facilitators</w:t>
            </w:r>
            <w:r w:rsidRPr="0092497D">
              <w:rPr>
                <w:rFonts w:ascii="Calibri" w:eastAsia="Calibri" w:hAnsi="Calibri" w:cs="Calibri"/>
                <w:noProof/>
                <w:sz w:val="20"/>
                <w:szCs w:val="20"/>
                <w:lang w:val="en-ZA"/>
              </w:rPr>
              <w:t xml:space="preserve"> in</w:t>
            </w:r>
            <w:r>
              <w:rPr>
                <w:rFonts w:ascii="Calibri" w:eastAsia="Calibri" w:hAnsi="Calibri" w:cs="Calibri"/>
                <w:noProof/>
                <w:sz w:val="20"/>
                <w:szCs w:val="20"/>
                <w:lang w:val="en-ZA"/>
              </w:rPr>
              <w:t xml:space="preserve"> using the</w:t>
            </w:r>
            <w:r w:rsidRPr="0092497D">
              <w:rPr>
                <w:rFonts w:ascii="Calibri" w:eastAsia="Calibri" w:hAnsi="Calibri" w:cs="Calibri"/>
                <w:noProof/>
                <w:sz w:val="20"/>
                <w:szCs w:val="20"/>
                <w:lang w:val="en-ZA"/>
              </w:rPr>
              <w:t xml:space="preserve"> </w:t>
            </w:r>
            <w:r>
              <w:rPr>
                <w:rFonts w:ascii="Calibri" w:eastAsia="Calibri" w:hAnsi="Calibri" w:cs="Calibri"/>
                <w:noProof/>
                <w:sz w:val="20"/>
                <w:szCs w:val="20"/>
                <w:lang w:val="en-ZA"/>
              </w:rPr>
              <w:t>updated</w:t>
            </w:r>
            <w:r w:rsidRPr="0092497D">
              <w:rPr>
                <w:rFonts w:ascii="Calibri" w:eastAsia="Calibri" w:hAnsi="Calibri" w:cs="Calibri"/>
                <w:noProof/>
                <w:sz w:val="20"/>
                <w:szCs w:val="20"/>
                <w:lang w:val="en-ZA"/>
              </w:rPr>
              <w:t xml:space="preserve"> Setting the Levels methodology and follow up process</w:t>
            </w:r>
            <w:r w:rsidR="00034050">
              <w:rPr>
                <w:rFonts w:ascii="Calibri" w:eastAsia="Calibri" w:hAnsi="Calibri" w:cs="Calibri"/>
                <w:noProof/>
                <w:sz w:val="20"/>
                <w:szCs w:val="20"/>
                <w:lang w:val="en-ZA"/>
              </w:rPr>
              <w:t>,</w:t>
            </w:r>
            <w:r>
              <w:rPr>
                <w:rFonts w:ascii="Calibri" w:eastAsia="Calibri" w:hAnsi="Calibri" w:cs="Calibri"/>
                <w:noProof/>
                <w:sz w:val="20"/>
                <w:szCs w:val="20"/>
                <w:lang w:val="en-ZA"/>
              </w:rPr>
              <w:t xml:space="preserve"> </w:t>
            </w:r>
            <w:r w:rsidR="00034050">
              <w:rPr>
                <w:rFonts w:ascii="Calibri" w:eastAsia="Calibri" w:hAnsi="Calibri" w:cs="Calibri"/>
                <w:sz w:val="20"/>
                <w:szCs w:val="20"/>
                <w:lang w:val="en-ZA"/>
              </w:rPr>
              <w:t xml:space="preserve">as well as agree and finalise a </w:t>
            </w:r>
            <w:r w:rsidR="00027D6D">
              <w:rPr>
                <w:rFonts w:ascii="Calibri" w:eastAsia="Calibri" w:hAnsi="Calibri" w:cs="Calibri"/>
                <w:sz w:val="20"/>
                <w:szCs w:val="20"/>
                <w:lang w:val="en-ZA"/>
              </w:rPr>
              <w:t>community-based</w:t>
            </w:r>
            <w:r w:rsidR="00034050">
              <w:rPr>
                <w:rFonts w:ascii="Calibri" w:eastAsia="Calibri" w:hAnsi="Calibri" w:cs="Calibri"/>
                <w:sz w:val="20"/>
                <w:szCs w:val="20"/>
                <w:lang w:val="en-ZA"/>
              </w:rPr>
              <w:t xml:space="preserve"> MEL system.</w:t>
            </w:r>
          </w:p>
        </w:tc>
      </w:tr>
      <w:tr w:rsidR="00BF2279" w:rsidRPr="00BD388B" w14:paraId="7F3B3F41" w14:textId="77777777" w:rsidTr="003710FD">
        <w:tc>
          <w:tcPr>
            <w:tcW w:w="4461" w:type="dxa"/>
          </w:tcPr>
          <w:p w14:paraId="442D97E4" w14:textId="6DB3FB20" w:rsidR="00BF2279" w:rsidRPr="0092497D" w:rsidRDefault="00BF2279" w:rsidP="00BF2279">
            <w:pPr>
              <w:pStyle w:val="ListParagraph"/>
              <w:widowControl/>
              <w:numPr>
                <w:ilvl w:val="0"/>
                <w:numId w:val="31"/>
              </w:numPr>
              <w:spacing w:after="0" w:line="240" w:lineRule="auto"/>
              <w:rPr>
                <w:rFonts w:ascii="Calibri" w:eastAsia="Calibri" w:hAnsi="Calibri" w:cs="Calibri"/>
                <w:sz w:val="20"/>
                <w:szCs w:val="20"/>
                <w:lang w:val="en-ZA"/>
              </w:rPr>
            </w:pPr>
            <w:r w:rsidRPr="0092497D">
              <w:rPr>
                <w:rFonts w:ascii="Calibri" w:eastAsia="Calibri" w:hAnsi="Calibri" w:cs="Calibri"/>
                <w:noProof/>
                <w:sz w:val="20"/>
                <w:szCs w:val="20"/>
                <w:lang w:val="en-ZA"/>
              </w:rPr>
              <w:t>Enhanced capacity of PVs CSO in terms of advocacy and media work</w:t>
            </w:r>
          </w:p>
        </w:tc>
        <w:tc>
          <w:tcPr>
            <w:tcW w:w="5173" w:type="dxa"/>
          </w:tcPr>
          <w:p w14:paraId="2428DB79" w14:textId="77777777" w:rsidR="00BF2279" w:rsidRPr="0092497D" w:rsidRDefault="00BF2279" w:rsidP="00BF2279">
            <w:pPr>
              <w:pStyle w:val="ListParagraph"/>
              <w:widowControl/>
              <w:numPr>
                <w:ilvl w:val="1"/>
                <w:numId w:val="31"/>
              </w:numPr>
              <w:spacing w:after="0" w:line="240" w:lineRule="auto"/>
              <w:rPr>
                <w:rFonts w:ascii="Calibri" w:eastAsia="Calibri" w:hAnsi="Calibri" w:cs="Calibri"/>
                <w:sz w:val="20"/>
                <w:szCs w:val="20"/>
                <w:lang w:val="en-ZA"/>
              </w:rPr>
            </w:pPr>
            <w:r w:rsidRPr="0092497D">
              <w:rPr>
                <w:rFonts w:ascii="Calibri" w:eastAsia="Calibri" w:hAnsi="Calibri" w:cs="Calibri"/>
                <w:sz w:val="20"/>
                <w:szCs w:val="20"/>
                <w:lang w:val="en-ZA"/>
              </w:rPr>
              <w:t>Tailored advocacy workshops</w:t>
            </w:r>
            <w:r>
              <w:rPr>
                <w:rFonts w:ascii="Calibri" w:eastAsia="Calibri" w:hAnsi="Calibri" w:cs="Calibri"/>
                <w:sz w:val="20"/>
                <w:szCs w:val="20"/>
                <w:lang w:val="en-ZA"/>
              </w:rPr>
              <w:t xml:space="preserve"> at organisational level</w:t>
            </w:r>
            <w:r w:rsidRPr="0092497D">
              <w:rPr>
                <w:rFonts w:ascii="Calibri" w:eastAsia="Calibri" w:hAnsi="Calibri" w:cs="Calibri"/>
                <w:sz w:val="20"/>
                <w:szCs w:val="20"/>
                <w:lang w:val="en-ZA"/>
              </w:rPr>
              <w:t xml:space="preserve"> drawing on the </w:t>
            </w:r>
            <w:r>
              <w:rPr>
                <w:rFonts w:ascii="Calibri" w:eastAsia="Calibri" w:hAnsi="Calibri" w:cs="Calibri"/>
                <w:sz w:val="20"/>
                <w:szCs w:val="20"/>
                <w:lang w:val="en-ZA"/>
              </w:rPr>
              <w:t>Fit for Purpose</w:t>
            </w:r>
            <w:r w:rsidRPr="0092497D">
              <w:rPr>
                <w:rFonts w:ascii="Calibri" w:eastAsia="Calibri" w:hAnsi="Calibri" w:cs="Calibri"/>
                <w:sz w:val="20"/>
                <w:szCs w:val="20"/>
                <w:lang w:val="en-ZA"/>
              </w:rPr>
              <w:t xml:space="preserve"> and GPS methodologies</w:t>
            </w:r>
          </w:p>
          <w:p w14:paraId="4E787C09" w14:textId="34933692" w:rsidR="00BF2279" w:rsidRPr="0092497D" w:rsidRDefault="00BF2279" w:rsidP="00BF2279">
            <w:pPr>
              <w:pStyle w:val="ListParagraph"/>
              <w:widowControl/>
              <w:numPr>
                <w:ilvl w:val="1"/>
                <w:numId w:val="31"/>
              </w:numPr>
              <w:spacing w:after="0" w:line="240" w:lineRule="auto"/>
              <w:rPr>
                <w:rFonts w:ascii="Calibri" w:eastAsia="Calibri" w:hAnsi="Calibri" w:cs="Calibri"/>
                <w:sz w:val="20"/>
                <w:szCs w:val="20"/>
                <w:lang w:val="en-ZA"/>
              </w:rPr>
            </w:pPr>
            <w:r w:rsidRPr="0092497D">
              <w:rPr>
                <w:rFonts w:ascii="Calibri" w:eastAsia="Calibri" w:hAnsi="Calibri" w:cs="Calibri"/>
                <w:sz w:val="20"/>
                <w:szCs w:val="20"/>
                <w:lang w:val="en-ZA"/>
              </w:rPr>
              <w:t>Media workshop</w:t>
            </w:r>
            <w:r>
              <w:rPr>
                <w:rFonts w:ascii="Calibri" w:eastAsia="Calibri" w:hAnsi="Calibri" w:cs="Calibri"/>
                <w:sz w:val="20"/>
                <w:szCs w:val="20"/>
                <w:lang w:val="en-ZA"/>
              </w:rPr>
              <w:t xml:space="preserve"> for all partners</w:t>
            </w:r>
            <w:r w:rsidRPr="0092497D">
              <w:rPr>
                <w:rFonts w:ascii="Calibri" w:eastAsia="Calibri" w:hAnsi="Calibri" w:cs="Calibri"/>
                <w:sz w:val="20"/>
                <w:szCs w:val="20"/>
                <w:lang w:val="en-ZA"/>
              </w:rPr>
              <w:t xml:space="preserve"> with a particular focus on social media </w:t>
            </w:r>
          </w:p>
        </w:tc>
      </w:tr>
      <w:tr w:rsidR="00BF2279" w:rsidRPr="00BD388B" w14:paraId="3B68378E" w14:textId="77777777" w:rsidTr="003710FD">
        <w:tc>
          <w:tcPr>
            <w:tcW w:w="4461" w:type="dxa"/>
          </w:tcPr>
          <w:p w14:paraId="1EF6A696" w14:textId="77777777" w:rsidR="00BF2279" w:rsidRPr="0092497D" w:rsidRDefault="00BF2279" w:rsidP="00BF2279">
            <w:pPr>
              <w:pStyle w:val="ListParagraph"/>
              <w:widowControl/>
              <w:numPr>
                <w:ilvl w:val="0"/>
                <w:numId w:val="31"/>
              </w:numPr>
              <w:spacing w:after="0" w:line="240" w:lineRule="auto"/>
              <w:rPr>
                <w:rFonts w:ascii="Calibri" w:eastAsia="Calibri" w:hAnsi="Calibri" w:cs="Calibri"/>
                <w:noProof/>
                <w:sz w:val="20"/>
                <w:szCs w:val="20"/>
                <w:lang w:val="en-ZA"/>
              </w:rPr>
            </w:pPr>
            <w:r>
              <w:rPr>
                <w:rFonts w:ascii="Calibri" w:eastAsia="Calibri" w:hAnsi="Calibri" w:cs="Calibri"/>
                <w:noProof/>
                <w:sz w:val="20"/>
                <w:szCs w:val="20"/>
                <w:lang w:val="en-ZA"/>
              </w:rPr>
              <w:t xml:space="preserve">PVs </w:t>
            </w:r>
            <w:r w:rsidRPr="0092497D">
              <w:rPr>
                <w:rFonts w:ascii="Calibri" w:eastAsia="Calibri" w:hAnsi="Calibri" w:cs="Calibri"/>
                <w:noProof/>
                <w:sz w:val="20"/>
                <w:szCs w:val="20"/>
                <w:lang w:val="en-ZA"/>
              </w:rPr>
              <w:t xml:space="preserve">CSO partners are better capacitated and  positioned to benefit from relevant funding opportunities, having better networking, proposal writing and other key fundraising skills, having more experience in working with donor funds and track record, and  do better and more successful funding proposals </w:t>
            </w:r>
          </w:p>
          <w:p w14:paraId="776199A3" w14:textId="77777777" w:rsidR="00BF2279" w:rsidRPr="0092497D" w:rsidRDefault="00BF2279" w:rsidP="00960B8C">
            <w:pPr>
              <w:rPr>
                <w:rFonts w:ascii="Calibri" w:eastAsia="Calibri" w:hAnsi="Calibri" w:cs="Calibri"/>
                <w:noProof/>
                <w:sz w:val="20"/>
                <w:szCs w:val="20"/>
                <w:lang w:val="en-ZA"/>
              </w:rPr>
            </w:pPr>
          </w:p>
        </w:tc>
        <w:tc>
          <w:tcPr>
            <w:tcW w:w="5173" w:type="dxa"/>
          </w:tcPr>
          <w:p w14:paraId="764FF78D" w14:textId="199A7315" w:rsidR="00BF2279" w:rsidRPr="0092497D" w:rsidRDefault="00BF2279" w:rsidP="00BF2279">
            <w:pPr>
              <w:pStyle w:val="ListParagraph"/>
              <w:widowControl/>
              <w:numPr>
                <w:ilvl w:val="1"/>
                <w:numId w:val="31"/>
              </w:numPr>
              <w:spacing w:after="0" w:line="240" w:lineRule="auto"/>
              <w:rPr>
                <w:rFonts w:ascii="Calibri" w:eastAsia="Calibri" w:hAnsi="Calibri" w:cs="Calibri"/>
                <w:noProof/>
                <w:sz w:val="20"/>
                <w:szCs w:val="20"/>
                <w:lang w:val="en-ZA"/>
              </w:rPr>
            </w:pPr>
            <w:r w:rsidRPr="0092497D">
              <w:rPr>
                <w:rFonts w:ascii="Calibri" w:eastAsia="Calibri" w:hAnsi="Calibri" w:cs="Calibri"/>
                <w:noProof/>
                <w:sz w:val="20"/>
                <w:szCs w:val="20"/>
                <w:lang w:val="en-ZA"/>
              </w:rPr>
              <w:t>Proposal development trainings/coachings structured around specific calls from local or regional donors which several partners might apply to (e.g. Other Foundation, EU, Embassy of Finland)</w:t>
            </w:r>
            <w:r>
              <w:rPr>
                <w:rFonts w:ascii="Calibri" w:eastAsia="Calibri" w:hAnsi="Calibri" w:cs="Calibri"/>
                <w:noProof/>
                <w:sz w:val="20"/>
                <w:szCs w:val="20"/>
                <w:lang w:val="en-ZA"/>
              </w:rPr>
              <w:t xml:space="preserve">, </w:t>
            </w:r>
            <w:r w:rsidR="002F499A">
              <w:rPr>
                <w:rFonts w:ascii="Calibri" w:eastAsia="Calibri" w:hAnsi="Calibri" w:cs="Calibri"/>
                <w:noProof/>
                <w:sz w:val="20"/>
                <w:szCs w:val="20"/>
                <w:lang w:val="en-ZA"/>
              </w:rPr>
              <w:t>and/a</w:t>
            </w:r>
            <w:r>
              <w:rPr>
                <w:rFonts w:ascii="Calibri" w:eastAsia="Calibri" w:hAnsi="Calibri" w:cs="Calibri"/>
                <w:noProof/>
                <w:sz w:val="20"/>
                <w:szCs w:val="20"/>
                <w:lang w:val="en-ZA"/>
              </w:rPr>
              <w:t>or mentoring individual organisations through an application phase. In this work extensive use will be made of elements of the Pathway to Sustainability method.</w:t>
            </w:r>
          </w:p>
          <w:p w14:paraId="74D8C771" w14:textId="77777777" w:rsidR="00BF2279" w:rsidRPr="0092497D" w:rsidRDefault="00BF2279" w:rsidP="00BF2279">
            <w:pPr>
              <w:pStyle w:val="ListParagraph"/>
              <w:widowControl/>
              <w:numPr>
                <w:ilvl w:val="1"/>
                <w:numId w:val="31"/>
              </w:numPr>
              <w:spacing w:after="0" w:line="240" w:lineRule="auto"/>
              <w:rPr>
                <w:rFonts w:ascii="Calibri" w:eastAsia="Calibri" w:hAnsi="Calibri" w:cs="Calibri"/>
                <w:noProof/>
                <w:sz w:val="20"/>
                <w:szCs w:val="20"/>
                <w:lang w:val="en-ZA"/>
              </w:rPr>
            </w:pPr>
            <w:r w:rsidRPr="0092497D">
              <w:rPr>
                <w:rFonts w:ascii="Calibri" w:eastAsia="Calibri" w:hAnsi="Calibri" w:cs="Calibri"/>
                <w:noProof/>
                <w:sz w:val="20"/>
                <w:szCs w:val="20"/>
                <w:lang w:val="en-ZA"/>
              </w:rPr>
              <w:t>Joint project development where appropriate</w:t>
            </w:r>
          </w:p>
        </w:tc>
      </w:tr>
    </w:tbl>
    <w:p w14:paraId="7C73360B" w14:textId="486BCDE6" w:rsidR="00BF2279" w:rsidRDefault="00BF2279" w:rsidP="00BF2279">
      <w:pPr>
        <w:rPr>
          <w:rFonts w:ascii="Calibri" w:eastAsia="Calibri" w:hAnsi="Calibri" w:cs="Calibri"/>
          <w:sz w:val="20"/>
          <w:szCs w:val="20"/>
          <w:lang w:val="en-ZA"/>
        </w:rPr>
      </w:pPr>
    </w:p>
    <w:p w14:paraId="6AC6D495" w14:textId="7E903EF7" w:rsidR="003469E2" w:rsidRDefault="003469E2" w:rsidP="00BF2279">
      <w:pPr>
        <w:rPr>
          <w:rFonts w:ascii="Calibri" w:eastAsia="Calibri" w:hAnsi="Calibri" w:cs="Calibri"/>
          <w:sz w:val="20"/>
          <w:szCs w:val="20"/>
          <w:lang w:val="en-ZA"/>
        </w:rPr>
      </w:pPr>
    </w:p>
    <w:tbl>
      <w:tblPr>
        <w:tblStyle w:val="TableGrid1"/>
        <w:tblW w:w="0" w:type="auto"/>
        <w:tblLook w:val="04A0" w:firstRow="1" w:lastRow="0" w:firstColumn="1" w:lastColumn="0" w:noHBand="0" w:noVBand="1"/>
      </w:tblPr>
      <w:tblGrid>
        <w:gridCol w:w="4544"/>
        <w:gridCol w:w="5078"/>
      </w:tblGrid>
      <w:tr w:rsidR="00633EB2" w:rsidRPr="00BD388B" w14:paraId="59346903" w14:textId="77777777" w:rsidTr="00D127D8">
        <w:tc>
          <w:tcPr>
            <w:tcW w:w="0" w:type="auto"/>
            <w:gridSpan w:val="2"/>
            <w:shd w:val="clear" w:color="auto" w:fill="auto"/>
          </w:tcPr>
          <w:p w14:paraId="26F9D385" w14:textId="476958B6" w:rsidR="00633EB2" w:rsidRPr="00B41863" w:rsidRDefault="00C66AB4" w:rsidP="00D127D8">
            <w:pPr>
              <w:rPr>
                <w:rFonts w:ascii="Calibri" w:hAnsi="Calibri" w:cs="Calibri"/>
                <w:noProof/>
                <w:color w:val="FF0000"/>
                <w:highlight w:val="yellow"/>
                <w:lang w:val="en-ZA"/>
              </w:rPr>
            </w:pPr>
            <w:r w:rsidRPr="00B41863">
              <w:rPr>
                <w:rFonts w:ascii="Calibri" w:hAnsi="Calibri" w:cs="Calibri"/>
                <w:b/>
                <w:noProof/>
                <w:highlight w:val="yellow"/>
                <w:lang w:val="en-ZA"/>
              </w:rPr>
              <w:lastRenderedPageBreak/>
              <w:t xml:space="preserve">Outcome 2: </w:t>
            </w:r>
            <w:r w:rsidR="00633EB2" w:rsidRPr="00B41863">
              <w:rPr>
                <w:rFonts w:ascii="Calibri" w:hAnsi="Calibri" w:cs="Calibri"/>
                <w:bCs/>
                <w:color w:val="FF0000"/>
                <w:highlight w:val="yellow"/>
                <w:lang w:val="en-ZA"/>
              </w:rPr>
              <w:t xml:space="preserve">  </w:t>
            </w:r>
            <w:r w:rsidR="00D039FA" w:rsidRPr="00D039FA">
              <w:rPr>
                <w:rFonts w:ascii="Calibri" w:hAnsi="Calibri" w:cs="Calibri"/>
                <w:bCs/>
                <w:noProof/>
                <w:shd w:val="clear" w:color="auto" w:fill="FFFF00"/>
                <w:lang w:val="en-ZA"/>
              </w:rPr>
              <w:t xml:space="preserve">Marginalised and </w:t>
            </w:r>
            <w:r w:rsidR="00D039FA" w:rsidRPr="00D039FA">
              <w:rPr>
                <w:rFonts w:ascii="Calibri" w:hAnsi="Calibri" w:cs="Calibri"/>
                <w:bCs/>
                <w:shd w:val="clear" w:color="auto" w:fill="FFFF00"/>
                <w:lang w:val="en-ZA"/>
              </w:rPr>
              <w:t>excluded adolescents and young people</w:t>
            </w:r>
            <w:r w:rsidR="00D039FA" w:rsidRPr="00D039FA">
              <w:rPr>
                <w:rFonts w:ascii="Calibri" w:hAnsi="Calibri" w:cs="Calibri"/>
                <w:bCs/>
                <w:noProof/>
                <w:shd w:val="clear" w:color="auto" w:fill="FFFF00"/>
                <w:lang w:val="en-ZA"/>
              </w:rPr>
              <w:t xml:space="preserve"> in 5 communities develop agency and voice, and feel safer and better included in the local communities</w:t>
            </w:r>
          </w:p>
        </w:tc>
      </w:tr>
      <w:tr w:rsidR="00633EB2" w:rsidRPr="00BD388B" w14:paraId="071DBB5D" w14:textId="77777777" w:rsidTr="00CC47FA">
        <w:tc>
          <w:tcPr>
            <w:tcW w:w="4390" w:type="dxa"/>
            <w:shd w:val="clear" w:color="auto" w:fill="auto"/>
          </w:tcPr>
          <w:p w14:paraId="4AAD6DCF" w14:textId="77777777" w:rsidR="00633EB2" w:rsidRPr="00B41863" w:rsidRDefault="00633EB2" w:rsidP="00D127D8">
            <w:pPr>
              <w:rPr>
                <w:rFonts w:ascii="Calibri" w:hAnsi="Calibri" w:cs="Calibri"/>
                <w:noProof/>
                <w:highlight w:val="yellow"/>
                <w:lang w:val="en-ZA"/>
              </w:rPr>
            </w:pPr>
            <w:r w:rsidRPr="00B41863">
              <w:rPr>
                <w:rFonts w:ascii="Calibri" w:hAnsi="Calibri" w:cs="Calibri"/>
                <w:noProof/>
                <w:highlight w:val="yellow"/>
                <w:lang w:val="en-ZA"/>
              </w:rPr>
              <w:t>Success criteria/Indicators:</w:t>
            </w:r>
          </w:p>
          <w:p w14:paraId="0476F93D" w14:textId="77777777" w:rsidR="002346A0" w:rsidRPr="009D0FC7" w:rsidRDefault="002346A0" w:rsidP="002346A0">
            <w:pPr>
              <w:pStyle w:val="ListParagraph"/>
              <w:numPr>
                <w:ilvl w:val="0"/>
                <w:numId w:val="12"/>
              </w:numPr>
              <w:spacing w:after="0" w:line="240" w:lineRule="auto"/>
              <w:rPr>
                <w:rFonts w:asciiTheme="minorHAnsi" w:hAnsiTheme="minorHAnsi" w:cstheme="minorHAnsi"/>
                <w:szCs w:val="20"/>
                <w:highlight w:val="yellow"/>
                <w:lang w:val="en-ZA"/>
              </w:rPr>
            </w:pPr>
            <w:r w:rsidRPr="009D0FC7">
              <w:rPr>
                <w:rFonts w:asciiTheme="minorHAnsi" w:hAnsiTheme="minorHAnsi" w:cstheme="minorHAnsi"/>
                <w:szCs w:val="20"/>
                <w:highlight w:val="yellow"/>
                <w:lang w:val="en-ZA"/>
              </w:rPr>
              <w:t xml:space="preserve">Enhanced voice and agency on the part of AGYW and LGBT+ youth. </w:t>
            </w:r>
          </w:p>
          <w:p w14:paraId="7A5A703E" w14:textId="77777777" w:rsidR="00633EB2" w:rsidRPr="00B41863" w:rsidRDefault="00633EB2" w:rsidP="0002311F">
            <w:pPr>
              <w:widowControl w:val="0"/>
              <w:numPr>
                <w:ilvl w:val="0"/>
                <w:numId w:val="12"/>
              </w:numPr>
              <w:contextualSpacing/>
              <w:rPr>
                <w:rFonts w:ascii="Calibri" w:hAnsi="Calibri" w:cs="Calibri"/>
                <w:noProof/>
                <w:highlight w:val="yellow"/>
                <w:lang w:val="en-ZA"/>
              </w:rPr>
            </w:pPr>
            <w:r w:rsidRPr="00B41863">
              <w:rPr>
                <w:rFonts w:ascii="Calibri" w:hAnsi="Calibri" w:cs="Calibri"/>
                <w:noProof/>
                <w:highlight w:val="yellow"/>
                <w:lang w:val="en-ZA"/>
              </w:rPr>
              <w:t>Adolescents and young people (AYPs) feel safer and better included in the local communities.</w:t>
            </w:r>
          </w:p>
          <w:p w14:paraId="7A90F6C0" w14:textId="41F4D86D" w:rsidR="00633EB2" w:rsidRPr="0002311F" w:rsidRDefault="00633EB2" w:rsidP="0002311F">
            <w:pPr>
              <w:widowControl w:val="0"/>
              <w:numPr>
                <w:ilvl w:val="0"/>
                <w:numId w:val="12"/>
              </w:numPr>
              <w:contextualSpacing/>
              <w:rPr>
                <w:rFonts w:ascii="Calibri" w:hAnsi="Calibri" w:cs="Calibri"/>
                <w:noProof/>
                <w:highlight w:val="yellow"/>
                <w:lang w:val="en-ZA"/>
              </w:rPr>
            </w:pPr>
            <w:r w:rsidRPr="00B41863">
              <w:rPr>
                <w:rFonts w:ascii="Calibri" w:hAnsi="Calibri" w:cs="Calibri"/>
                <w:noProof/>
                <w:highlight w:val="yellow"/>
                <w:lang w:val="en-ZA"/>
              </w:rPr>
              <w:t xml:space="preserve">Local communities and AYP report increase in appropriate and sensitive responses by local duty-bearers – e.g. police, health authorities, </w:t>
            </w:r>
            <w:r w:rsidRPr="0002311F">
              <w:rPr>
                <w:rFonts w:ascii="Calibri" w:hAnsi="Calibri" w:cs="Calibri"/>
                <w:noProof/>
                <w:highlight w:val="yellow"/>
                <w:lang w:val="en-ZA"/>
              </w:rPr>
              <w:t>schools.</w:t>
            </w:r>
          </w:p>
          <w:p w14:paraId="313AA6B5" w14:textId="77777777" w:rsidR="0002311F" w:rsidRPr="009D0FC7" w:rsidRDefault="0002311F" w:rsidP="0002311F">
            <w:pPr>
              <w:pStyle w:val="ListParagraph"/>
              <w:numPr>
                <w:ilvl w:val="0"/>
                <w:numId w:val="12"/>
              </w:numPr>
              <w:spacing w:after="0" w:line="240" w:lineRule="auto"/>
              <w:rPr>
                <w:rFonts w:asciiTheme="minorHAnsi" w:hAnsiTheme="minorHAnsi" w:cstheme="minorHAnsi"/>
                <w:szCs w:val="20"/>
                <w:highlight w:val="yellow"/>
                <w:lang w:val="en-ZA"/>
              </w:rPr>
            </w:pPr>
            <w:r w:rsidRPr="009D0FC7">
              <w:rPr>
                <w:rFonts w:asciiTheme="minorHAnsi" w:hAnsiTheme="minorHAnsi" w:cstheme="minorHAnsi"/>
                <w:szCs w:val="20"/>
                <w:highlight w:val="yellow"/>
                <w:lang w:val="en-ZA"/>
              </w:rPr>
              <w:t xml:space="preserve">A reduction in violence against LGBT+ youth and AGYW in schools and communities  </w:t>
            </w:r>
          </w:p>
          <w:p w14:paraId="321A35D6" w14:textId="77777777" w:rsidR="0002311F" w:rsidRPr="009D0FC7" w:rsidRDefault="0002311F" w:rsidP="0002311F">
            <w:pPr>
              <w:pStyle w:val="ListParagraph"/>
              <w:numPr>
                <w:ilvl w:val="0"/>
                <w:numId w:val="12"/>
              </w:numPr>
              <w:spacing w:after="0" w:line="240" w:lineRule="auto"/>
              <w:rPr>
                <w:rFonts w:asciiTheme="minorHAnsi" w:hAnsiTheme="minorHAnsi" w:cstheme="minorHAnsi"/>
                <w:szCs w:val="20"/>
                <w:highlight w:val="yellow"/>
                <w:lang w:val="en-ZA"/>
              </w:rPr>
            </w:pPr>
            <w:r w:rsidRPr="009D0FC7">
              <w:rPr>
                <w:rFonts w:asciiTheme="minorHAnsi" w:hAnsiTheme="minorHAnsi" w:cstheme="minorHAnsi"/>
                <w:szCs w:val="20"/>
                <w:highlight w:val="yellow"/>
                <w:lang w:val="en-ZA"/>
              </w:rPr>
              <w:t xml:space="preserve">Reduced self-stigma and fear on the part of LGBT+ youth. </w:t>
            </w:r>
          </w:p>
          <w:p w14:paraId="6D412183" w14:textId="77777777" w:rsidR="0002311F" w:rsidRPr="009D0FC7" w:rsidRDefault="0002311F" w:rsidP="0002311F">
            <w:pPr>
              <w:pStyle w:val="ListParagraph"/>
              <w:widowControl/>
              <w:numPr>
                <w:ilvl w:val="0"/>
                <w:numId w:val="12"/>
              </w:numPr>
              <w:spacing w:after="0" w:line="240" w:lineRule="auto"/>
              <w:rPr>
                <w:rFonts w:asciiTheme="minorHAnsi" w:eastAsia="Calibri" w:hAnsiTheme="minorHAnsi" w:cstheme="minorHAnsi"/>
                <w:noProof/>
                <w:szCs w:val="20"/>
                <w:highlight w:val="yellow"/>
                <w:lang w:val="en-ZA"/>
              </w:rPr>
            </w:pPr>
            <w:r w:rsidRPr="009D0FC7">
              <w:rPr>
                <w:rFonts w:asciiTheme="minorHAnsi" w:hAnsiTheme="minorHAnsi" w:cstheme="minorHAnsi"/>
                <w:szCs w:val="20"/>
                <w:highlight w:val="yellow"/>
                <w:lang w:val="en-ZA"/>
              </w:rPr>
              <w:t>Increased rights-literacy, legal-literacy, understanding of gender and gender equity, and understanding of sexual orientation, gender identity and expression (SOGIE), among youth, organised civil society and local duty-bearers</w:t>
            </w:r>
          </w:p>
          <w:p w14:paraId="3DFFF3A8" w14:textId="77777777" w:rsidR="00540E29" w:rsidRDefault="00540E29" w:rsidP="0002311F">
            <w:pPr>
              <w:widowControl w:val="0"/>
              <w:ind w:left="360" w:firstLine="0"/>
              <w:contextualSpacing/>
              <w:rPr>
                <w:rFonts w:ascii="Calibri" w:hAnsi="Calibri" w:cs="Calibri"/>
                <w:i/>
                <w:iCs/>
                <w:noProof/>
                <w:highlight w:val="yellow"/>
                <w:lang w:val="en-ZA"/>
              </w:rPr>
            </w:pPr>
          </w:p>
          <w:p w14:paraId="691FA410" w14:textId="0C770282" w:rsidR="0002311F" w:rsidRPr="00F76E53" w:rsidRDefault="00F76E53" w:rsidP="0002311F">
            <w:pPr>
              <w:widowControl w:val="0"/>
              <w:ind w:left="360" w:firstLine="0"/>
              <w:contextualSpacing/>
              <w:rPr>
                <w:rFonts w:ascii="Calibri" w:hAnsi="Calibri" w:cs="Calibri"/>
                <w:i/>
                <w:iCs/>
                <w:noProof/>
                <w:highlight w:val="yellow"/>
                <w:lang w:val="en-ZA"/>
              </w:rPr>
            </w:pPr>
            <w:r w:rsidRPr="00F76E53">
              <w:rPr>
                <w:rFonts w:ascii="Calibri" w:hAnsi="Calibri" w:cs="Calibri"/>
                <w:i/>
                <w:iCs/>
                <w:noProof/>
                <w:highlight w:val="yellow"/>
                <w:lang w:val="en-ZA"/>
              </w:rPr>
              <w:t xml:space="preserve">Only as a part of the start up of the project in the different communities will we be able to capture a precise base line for how the target group experience above. </w:t>
            </w:r>
            <w:r w:rsidR="00AF5C2D">
              <w:rPr>
                <w:rFonts w:ascii="Calibri" w:hAnsi="Calibri" w:cs="Calibri"/>
                <w:i/>
                <w:iCs/>
                <w:noProof/>
                <w:highlight w:val="yellow"/>
                <w:lang w:val="en-ZA"/>
              </w:rPr>
              <w:t>We then expect</w:t>
            </w:r>
            <w:r w:rsidRPr="00F76E53">
              <w:rPr>
                <w:rFonts w:ascii="Calibri" w:hAnsi="Calibri" w:cs="Calibri"/>
                <w:i/>
                <w:iCs/>
                <w:noProof/>
                <w:highlight w:val="yellow"/>
                <w:lang w:val="en-ZA"/>
              </w:rPr>
              <w:t xml:space="preserve"> a</w:t>
            </w:r>
            <w:r w:rsidR="001E6F45">
              <w:rPr>
                <w:rFonts w:ascii="Calibri" w:hAnsi="Calibri" w:cs="Calibri"/>
                <w:i/>
                <w:iCs/>
                <w:noProof/>
                <w:highlight w:val="yellow"/>
                <w:lang w:val="en-ZA"/>
              </w:rPr>
              <w:t>t least</w:t>
            </w:r>
            <w:r w:rsidR="00FC67BD">
              <w:rPr>
                <w:rFonts w:ascii="Calibri" w:hAnsi="Calibri" w:cs="Calibri"/>
                <w:i/>
                <w:iCs/>
                <w:noProof/>
                <w:highlight w:val="yellow"/>
                <w:lang w:val="en-ZA"/>
              </w:rPr>
              <w:t xml:space="preserve"> a</w:t>
            </w:r>
            <w:r w:rsidRPr="00F76E53">
              <w:rPr>
                <w:rFonts w:ascii="Calibri" w:hAnsi="Calibri" w:cs="Calibri"/>
                <w:i/>
                <w:iCs/>
                <w:noProof/>
                <w:highlight w:val="yellow"/>
                <w:lang w:val="en-ZA"/>
              </w:rPr>
              <w:t xml:space="preserve"> 25-50% increase</w:t>
            </w:r>
            <w:r w:rsidR="00231402">
              <w:rPr>
                <w:rFonts w:ascii="Calibri" w:hAnsi="Calibri" w:cs="Calibri"/>
                <w:i/>
                <w:iCs/>
                <w:noProof/>
                <w:highlight w:val="yellow"/>
                <w:lang w:val="en-ZA"/>
              </w:rPr>
              <w:t>/</w:t>
            </w:r>
            <w:r w:rsidRPr="00F76E53">
              <w:rPr>
                <w:rFonts w:ascii="Calibri" w:hAnsi="Calibri" w:cs="Calibri"/>
                <w:i/>
                <w:iCs/>
                <w:noProof/>
                <w:highlight w:val="yellow"/>
                <w:lang w:val="en-ZA"/>
              </w:rPr>
              <w:t>reduction of the indicators .</w:t>
            </w:r>
          </w:p>
          <w:p w14:paraId="26572A40" w14:textId="77777777" w:rsidR="00633EB2" w:rsidRPr="00B41863" w:rsidRDefault="00633EB2" w:rsidP="00D127D8">
            <w:pPr>
              <w:widowControl w:val="0"/>
              <w:ind w:left="360"/>
              <w:contextualSpacing/>
              <w:rPr>
                <w:rFonts w:ascii="Calibri" w:hAnsi="Calibri" w:cs="Calibri"/>
                <w:noProof/>
                <w:highlight w:val="yellow"/>
                <w:lang w:val="en-ZA"/>
              </w:rPr>
            </w:pPr>
          </w:p>
        </w:tc>
        <w:tc>
          <w:tcPr>
            <w:tcW w:w="5232" w:type="dxa"/>
            <w:shd w:val="clear" w:color="auto" w:fill="auto"/>
          </w:tcPr>
          <w:p w14:paraId="78FC8E85" w14:textId="77777777" w:rsidR="00633EB2" w:rsidRPr="00B41863" w:rsidRDefault="00633EB2" w:rsidP="00D127D8">
            <w:pPr>
              <w:rPr>
                <w:rFonts w:ascii="Calibri" w:hAnsi="Calibri" w:cs="Calibri"/>
                <w:noProof/>
                <w:highlight w:val="yellow"/>
                <w:lang w:val="en-ZA"/>
              </w:rPr>
            </w:pPr>
            <w:r w:rsidRPr="00B41863">
              <w:rPr>
                <w:rFonts w:ascii="Calibri" w:hAnsi="Calibri" w:cs="Calibri"/>
                <w:noProof/>
                <w:highlight w:val="yellow"/>
                <w:lang w:val="en-ZA"/>
              </w:rPr>
              <w:t>Means of verification:</w:t>
            </w:r>
          </w:p>
          <w:p w14:paraId="3F644A70" w14:textId="79C098FB" w:rsidR="00633EB2" w:rsidRPr="00B41863" w:rsidRDefault="00633EB2" w:rsidP="00D127D8">
            <w:pPr>
              <w:widowControl w:val="0"/>
              <w:numPr>
                <w:ilvl w:val="0"/>
                <w:numId w:val="13"/>
              </w:numPr>
              <w:contextualSpacing/>
              <w:rPr>
                <w:rFonts w:ascii="Calibri" w:hAnsi="Calibri" w:cs="Calibri"/>
                <w:noProof/>
                <w:highlight w:val="yellow"/>
                <w:lang w:val="en-ZA"/>
              </w:rPr>
            </w:pPr>
            <w:r w:rsidRPr="00B41863">
              <w:rPr>
                <w:rFonts w:ascii="Calibri" w:hAnsi="Calibri" w:cs="Calibri"/>
                <w:noProof/>
                <w:highlight w:val="yellow"/>
                <w:lang w:val="en-ZA"/>
              </w:rPr>
              <w:t>Workshop and activity reports</w:t>
            </w:r>
            <w:r w:rsidR="00691427">
              <w:rPr>
                <w:rFonts w:ascii="Calibri" w:hAnsi="Calibri" w:cs="Calibri"/>
                <w:noProof/>
                <w:highlight w:val="yellow"/>
                <w:lang w:val="en-ZA"/>
              </w:rPr>
              <w:t xml:space="preserve"> including pre- and post- evaluations.</w:t>
            </w:r>
          </w:p>
          <w:p w14:paraId="05888FD8" w14:textId="02D6C3E7" w:rsidR="00633EB2" w:rsidRPr="00B41863" w:rsidRDefault="00691427" w:rsidP="00D127D8">
            <w:pPr>
              <w:widowControl w:val="0"/>
              <w:numPr>
                <w:ilvl w:val="0"/>
                <w:numId w:val="13"/>
              </w:numPr>
              <w:contextualSpacing/>
              <w:rPr>
                <w:rFonts w:ascii="Calibri" w:hAnsi="Calibri" w:cs="Calibri"/>
                <w:noProof/>
                <w:highlight w:val="yellow"/>
                <w:lang w:val="en-ZA"/>
              </w:rPr>
            </w:pPr>
            <w:r>
              <w:rPr>
                <w:rFonts w:ascii="Calibri" w:hAnsi="Calibri" w:cs="Calibri"/>
                <w:noProof/>
                <w:highlight w:val="yellow"/>
                <w:lang w:val="en-ZA"/>
              </w:rPr>
              <w:t>Focus group discussions</w:t>
            </w:r>
            <w:r w:rsidR="002762EE">
              <w:rPr>
                <w:rFonts w:ascii="Calibri" w:hAnsi="Calibri" w:cs="Calibri"/>
                <w:noProof/>
                <w:highlight w:val="yellow"/>
                <w:lang w:val="en-ZA"/>
              </w:rPr>
              <w:t xml:space="preserve"> with</w:t>
            </w:r>
            <w:r w:rsidR="00AF5C2D">
              <w:rPr>
                <w:rFonts w:ascii="Calibri" w:hAnsi="Calibri" w:cs="Calibri"/>
                <w:noProof/>
                <w:highlight w:val="yellow"/>
                <w:lang w:val="en-ZA"/>
              </w:rPr>
              <w:t xml:space="preserve"> a selection from</w:t>
            </w:r>
            <w:r w:rsidR="002762EE">
              <w:rPr>
                <w:rFonts w:ascii="Calibri" w:hAnsi="Calibri" w:cs="Calibri"/>
                <w:noProof/>
                <w:highlight w:val="yellow"/>
                <w:lang w:val="en-ZA"/>
              </w:rPr>
              <w:t xml:space="preserve"> the target groups</w:t>
            </w:r>
            <w:r w:rsidR="001E7791">
              <w:rPr>
                <w:rFonts w:ascii="Calibri" w:hAnsi="Calibri" w:cs="Calibri"/>
                <w:noProof/>
                <w:highlight w:val="yellow"/>
                <w:lang w:val="en-ZA"/>
              </w:rPr>
              <w:t xml:space="preserve"> 1)</w:t>
            </w:r>
            <w:r w:rsidR="00827449">
              <w:rPr>
                <w:rFonts w:ascii="Calibri" w:hAnsi="Calibri" w:cs="Calibri"/>
                <w:noProof/>
                <w:highlight w:val="yellow"/>
                <w:lang w:val="en-ZA"/>
              </w:rPr>
              <w:t xml:space="preserve"> as a part of the preparation of community level activities</w:t>
            </w:r>
            <w:r w:rsidR="002762EE">
              <w:rPr>
                <w:rFonts w:ascii="Calibri" w:hAnsi="Calibri" w:cs="Calibri"/>
                <w:noProof/>
                <w:highlight w:val="yellow"/>
                <w:lang w:val="en-ZA"/>
              </w:rPr>
              <w:t xml:space="preserve"> and </w:t>
            </w:r>
            <w:r w:rsidR="001E7791">
              <w:rPr>
                <w:rFonts w:ascii="Calibri" w:hAnsi="Calibri" w:cs="Calibri"/>
                <w:noProof/>
                <w:highlight w:val="yellow"/>
                <w:lang w:val="en-ZA"/>
              </w:rPr>
              <w:t xml:space="preserve">2) </w:t>
            </w:r>
            <w:r w:rsidR="002762EE">
              <w:rPr>
                <w:rFonts w:ascii="Calibri" w:hAnsi="Calibri" w:cs="Calibri"/>
                <w:noProof/>
                <w:highlight w:val="yellow"/>
                <w:lang w:val="en-ZA"/>
              </w:rPr>
              <w:t xml:space="preserve">as a part of the review </w:t>
            </w:r>
            <w:r w:rsidR="00FA66DF" w:rsidRPr="00B41863">
              <w:rPr>
                <w:rFonts w:ascii="Calibri" w:hAnsi="Calibri" w:cs="Calibri"/>
                <w:noProof/>
                <w:highlight w:val="yellow"/>
                <w:lang w:val="en-ZA"/>
              </w:rPr>
              <w:t xml:space="preserve"> </w:t>
            </w:r>
            <w:r w:rsidR="001E7791">
              <w:rPr>
                <w:rFonts w:ascii="Calibri" w:hAnsi="Calibri" w:cs="Calibri"/>
                <w:noProof/>
                <w:highlight w:val="yellow"/>
                <w:lang w:val="en-ZA"/>
              </w:rPr>
              <w:t>process/</w:t>
            </w:r>
            <w:r w:rsidR="00FA66DF" w:rsidRPr="00B41863">
              <w:rPr>
                <w:rFonts w:ascii="Calibri" w:hAnsi="Calibri" w:cs="Calibri"/>
                <w:noProof/>
                <w:highlight w:val="yellow"/>
                <w:lang w:val="en-ZA"/>
              </w:rPr>
              <w:t>report</w:t>
            </w:r>
            <w:r w:rsidR="002762EE">
              <w:rPr>
                <w:rFonts w:ascii="Calibri" w:hAnsi="Calibri" w:cs="Calibri"/>
                <w:noProof/>
                <w:highlight w:val="yellow"/>
                <w:lang w:val="en-ZA"/>
              </w:rPr>
              <w:t xml:space="preserve"> giving a possibility to </w:t>
            </w:r>
            <w:r w:rsidR="00773D10">
              <w:rPr>
                <w:rFonts w:ascii="Calibri" w:hAnsi="Calibri" w:cs="Calibri"/>
                <w:noProof/>
                <w:highlight w:val="yellow"/>
                <w:lang w:val="en-ZA"/>
              </w:rPr>
              <w:t xml:space="preserve">capture </w:t>
            </w:r>
            <w:r w:rsidR="00773D10" w:rsidRPr="0096632F">
              <w:rPr>
                <w:rFonts w:ascii="Calibri" w:hAnsi="Calibri" w:cs="Calibri"/>
                <w:i/>
                <w:iCs/>
                <w:noProof/>
                <w:highlight w:val="yellow"/>
                <w:lang w:val="en-ZA"/>
              </w:rPr>
              <w:t>experienced</w:t>
            </w:r>
            <w:r w:rsidR="00773D10">
              <w:rPr>
                <w:rFonts w:ascii="Calibri" w:hAnsi="Calibri" w:cs="Calibri"/>
                <w:noProof/>
                <w:highlight w:val="yellow"/>
                <w:lang w:val="en-ZA"/>
              </w:rPr>
              <w:t xml:space="preserve"> </w:t>
            </w:r>
            <w:r w:rsidR="009B2677">
              <w:rPr>
                <w:rFonts w:ascii="Calibri" w:hAnsi="Calibri" w:cs="Calibri"/>
                <w:noProof/>
                <w:highlight w:val="yellow"/>
                <w:lang w:val="en-ZA"/>
              </w:rPr>
              <w:t>changes in</w:t>
            </w:r>
            <w:r w:rsidR="00A14A2B">
              <w:rPr>
                <w:rFonts w:ascii="Calibri" w:hAnsi="Calibri" w:cs="Calibri"/>
                <w:noProof/>
                <w:highlight w:val="yellow"/>
                <w:lang w:val="en-ZA"/>
              </w:rPr>
              <w:t xml:space="preserve"> the </w:t>
            </w:r>
            <w:r w:rsidR="009B2677">
              <w:rPr>
                <w:rFonts w:ascii="Calibri" w:hAnsi="Calibri" w:cs="Calibri"/>
                <w:noProof/>
                <w:highlight w:val="yellow"/>
                <w:lang w:val="en-ZA"/>
              </w:rPr>
              <w:t xml:space="preserve"> indicators</w:t>
            </w:r>
            <w:r w:rsidR="00AF5C2D">
              <w:rPr>
                <w:rFonts w:ascii="Calibri" w:hAnsi="Calibri" w:cs="Calibri"/>
                <w:noProof/>
                <w:highlight w:val="yellow"/>
                <w:lang w:val="en-ZA"/>
              </w:rPr>
              <w:t xml:space="preserve"> listed.</w:t>
            </w:r>
          </w:p>
          <w:p w14:paraId="63030D2F" w14:textId="262B5C04" w:rsidR="00633EB2" w:rsidRPr="00BA4221" w:rsidRDefault="00633EB2" w:rsidP="00FA66DF">
            <w:pPr>
              <w:widowControl w:val="0"/>
              <w:ind w:left="360" w:firstLine="0"/>
              <w:contextualSpacing/>
              <w:rPr>
                <w:rFonts w:ascii="Calibri" w:hAnsi="Calibri" w:cs="Calibri"/>
                <w:noProof/>
                <w:highlight w:val="yellow"/>
                <w:lang w:val="en-US"/>
              </w:rPr>
            </w:pPr>
          </w:p>
        </w:tc>
      </w:tr>
    </w:tbl>
    <w:tbl>
      <w:tblPr>
        <w:tblStyle w:val="TableGrid"/>
        <w:tblW w:w="9634" w:type="dxa"/>
        <w:tblLook w:val="04A0" w:firstRow="1" w:lastRow="0" w:firstColumn="1" w:lastColumn="0" w:noHBand="0" w:noVBand="1"/>
      </w:tblPr>
      <w:tblGrid>
        <w:gridCol w:w="4390"/>
        <w:gridCol w:w="5244"/>
      </w:tblGrid>
      <w:tr w:rsidR="001A7699" w:rsidRPr="00AD1FAC" w14:paraId="5572E978" w14:textId="77777777" w:rsidTr="00CC47FA">
        <w:tc>
          <w:tcPr>
            <w:tcW w:w="4390" w:type="dxa"/>
          </w:tcPr>
          <w:p w14:paraId="05CF95E0" w14:textId="5A665E62" w:rsidR="001A7699" w:rsidRPr="00AD1FAC" w:rsidRDefault="001A7699" w:rsidP="001A7699">
            <w:pPr>
              <w:rPr>
                <w:rFonts w:ascii="Calibri" w:eastAsia="Calibri" w:hAnsi="Calibri" w:cs="Calibri"/>
                <w:b/>
                <w:bCs/>
                <w:sz w:val="20"/>
                <w:szCs w:val="20"/>
                <w:lang w:val="en-ZA"/>
              </w:rPr>
            </w:pPr>
            <w:r w:rsidRPr="00AD1FAC">
              <w:rPr>
                <w:b/>
                <w:bCs/>
                <w:sz w:val="20"/>
                <w:szCs w:val="20"/>
              </w:rPr>
              <w:t>Outputs</w:t>
            </w:r>
            <w:r w:rsidR="0040163C" w:rsidRPr="00AD1FAC">
              <w:rPr>
                <w:b/>
                <w:bCs/>
                <w:sz w:val="20"/>
                <w:szCs w:val="20"/>
              </w:rPr>
              <w:t xml:space="preserve"> </w:t>
            </w:r>
            <w:proofErr w:type="spellStart"/>
            <w:r w:rsidR="00AD1FAC">
              <w:rPr>
                <w:b/>
                <w:bCs/>
                <w:sz w:val="20"/>
                <w:szCs w:val="20"/>
              </w:rPr>
              <w:t>related</w:t>
            </w:r>
            <w:proofErr w:type="spellEnd"/>
            <w:r w:rsidR="00AD1FAC">
              <w:rPr>
                <w:b/>
                <w:bCs/>
                <w:sz w:val="20"/>
                <w:szCs w:val="20"/>
              </w:rPr>
              <w:t xml:space="preserve"> to </w:t>
            </w:r>
            <w:proofErr w:type="spellStart"/>
            <w:r w:rsidR="00AD1FAC">
              <w:rPr>
                <w:b/>
                <w:bCs/>
                <w:sz w:val="20"/>
                <w:szCs w:val="20"/>
              </w:rPr>
              <w:t>Outcome</w:t>
            </w:r>
            <w:proofErr w:type="spellEnd"/>
            <w:r w:rsidR="00AD1FAC">
              <w:rPr>
                <w:b/>
                <w:bCs/>
                <w:sz w:val="20"/>
                <w:szCs w:val="20"/>
              </w:rPr>
              <w:t xml:space="preserve"> 2</w:t>
            </w:r>
          </w:p>
        </w:tc>
        <w:tc>
          <w:tcPr>
            <w:tcW w:w="5244" w:type="dxa"/>
          </w:tcPr>
          <w:p w14:paraId="07B56867" w14:textId="18E29FB6" w:rsidR="001A7699" w:rsidRPr="00AD1FAC" w:rsidRDefault="001A7699" w:rsidP="001A7699">
            <w:pPr>
              <w:rPr>
                <w:rFonts w:ascii="Calibri" w:eastAsia="Calibri" w:hAnsi="Calibri" w:cs="Calibri"/>
                <w:b/>
                <w:bCs/>
                <w:noProof/>
                <w:sz w:val="20"/>
                <w:szCs w:val="20"/>
                <w:lang w:val="en-ZA"/>
              </w:rPr>
            </w:pPr>
            <w:proofErr w:type="spellStart"/>
            <w:r w:rsidRPr="00AD1FAC">
              <w:rPr>
                <w:b/>
                <w:bCs/>
                <w:sz w:val="20"/>
                <w:szCs w:val="20"/>
              </w:rPr>
              <w:t>Activities</w:t>
            </w:r>
            <w:proofErr w:type="spellEnd"/>
          </w:p>
        </w:tc>
      </w:tr>
      <w:tr w:rsidR="00DC22BD" w:rsidRPr="00BD388B" w14:paraId="5E178990" w14:textId="77777777" w:rsidTr="00CC47FA">
        <w:tc>
          <w:tcPr>
            <w:tcW w:w="4390" w:type="dxa"/>
          </w:tcPr>
          <w:p w14:paraId="1DAC6252" w14:textId="60E683DC" w:rsidR="00DC22BD" w:rsidRPr="0092497D" w:rsidRDefault="00DC22BD" w:rsidP="00DC22BD">
            <w:pPr>
              <w:pStyle w:val="ListParagraph"/>
              <w:widowControl/>
              <w:numPr>
                <w:ilvl w:val="0"/>
                <w:numId w:val="31"/>
              </w:numPr>
              <w:spacing w:after="0" w:line="240" w:lineRule="auto"/>
              <w:rPr>
                <w:rFonts w:ascii="Calibri" w:eastAsia="Calibri" w:hAnsi="Calibri" w:cs="Calibri"/>
                <w:noProof/>
                <w:sz w:val="20"/>
                <w:szCs w:val="20"/>
                <w:lang w:val="en-ZA"/>
              </w:rPr>
            </w:pPr>
            <w:r w:rsidRPr="0092497D">
              <w:rPr>
                <w:rFonts w:ascii="Calibri" w:hAnsi="Calibri" w:cs="Calibri"/>
                <w:bCs/>
                <w:noProof/>
                <w:sz w:val="20"/>
                <w:szCs w:val="20"/>
                <w:lang w:val="en-ZA"/>
              </w:rPr>
              <w:t xml:space="preserve">Marginalised and </w:t>
            </w:r>
            <w:r w:rsidRPr="0092497D">
              <w:rPr>
                <w:rFonts w:ascii="Calibri" w:hAnsi="Calibri" w:cs="Calibri"/>
                <w:bCs/>
                <w:sz w:val="20"/>
                <w:szCs w:val="20"/>
                <w:lang w:val="en-ZA"/>
              </w:rPr>
              <w:t>excluded adolescents and young people,</w:t>
            </w:r>
            <w:r w:rsidRPr="0092497D">
              <w:rPr>
                <w:rFonts w:ascii="Calibri" w:hAnsi="Calibri" w:cs="Calibri"/>
                <w:bCs/>
                <w:noProof/>
                <w:sz w:val="20"/>
                <w:szCs w:val="20"/>
                <w:lang w:val="en-ZA"/>
              </w:rPr>
              <w:t xml:space="preserve"> being members and constituency of partner organisations, develop agency and voice </w:t>
            </w:r>
            <w:r>
              <w:rPr>
                <w:rFonts w:ascii="Calibri" w:hAnsi="Calibri" w:cs="Calibri"/>
                <w:bCs/>
                <w:noProof/>
                <w:sz w:val="20"/>
                <w:szCs w:val="20"/>
                <w:lang w:val="en-ZA"/>
              </w:rPr>
              <w:t>and are involved in  taking  forward advocacy agendas</w:t>
            </w:r>
          </w:p>
          <w:p w14:paraId="43EC59EC" w14:textId="77777777" w:rsidR="00DC22BD" w:rsidRPr="0092497D" w:rsidRDefault="00DC22BD" w:rsidP="00DC22BD">
            <w:pPr>
              <w:pStyle w:val="ListParagraph"/>
              <w:widowControl/>
              <w:spacing w:after="0" w:line="240" w:lineRule="auto"/>
              <w:rPr>
                <w:rFonts w:ascii="Calibri" w:eastAsia="Calibri" w:hAnsi="Calibri" w:cs="Calibri"/>
                <w:sz w:val="20"/>
                <w:szCs w:val="20"/>
                <w:lang w:val="en-ZA"/>
              </w:rPr>
            </w:pPr>
          </w:p>
        </w:tc>
        <w:tc>
          <w:tcPr>
            <w:tcW w:w="5244" w:type="dxa"/>
          </w:tcPr>
          <w:p w14:paraId="7944B695" w14:textId="1C42407B" w:rsidR="00DC22BD" w:rsidRPr="0092497D" w:rsidRDefault="00DC22BD" w:rsidP="00DC22BD">
            <w:pPr>
              <w:widowControl w:val="0"/>
              <w:spacing w:after="200" w:line="276" w:lineRule="auto"/>
              <w:contextualSpacing/>
              <w:rPr>
                <w:rFonts w:ascii="Calibri" w:eastAsia="Calibri" w:hAnsi="Calibri" w:cs="Calibri"/>
                <w:noProof/>
                <w:sz w:val="20"/>
                <w:szCs w:val="20"/>
                <w:lang w:val="en-ZA"/>
              </w:rPr>
            </w:pPr>
            <w:r w:rsidRPr="0092497D">
              <w:rPr>
                <w:rFonts w:ascii="Calibri" w:eastAsia="Calibri" w:hAnsi="Calibri" w:cs="Calibri"/>
                <w:noProof/>
                <w:sz w:val="20"/>
                <w:szCs w:val="20"/>
                <w:lang w:val="en-ZA"/>
              </w:rPr>
              <w:t>Movement building work including:</w:t>
            </w:r>
          </w:p>
          <w:p w14:paraId="5C1D6751" w14:textId="77777777" w:rsidR="00DC22BD" w:rsidRPr="0092497D" w:rsidRDefault="00DC22BD" w:rsidP="00DC22BD">
            <w:pPr>
              <w:pStyle w:val="ListParagraph"/>
              <w:numPr>
                <w:ilvl w:val="1"/>
                <w:numId w:val="31"/>
              </w:numPr>
              <w:rPr>
                <w:rFonts w:ascii="Calibri" w:eastAsia="Calibri" w:hAnsi="Calibri" w:cs="Calibri"/>
                <w:noProof/>
                <w:sz w:val="20"/>
                <w:szCs w:val="20"/>
                <w:lang w:val="en-ZA"/>
              </w:rPr>
            </w:pPr>
            <w:r w:rsidRPr="0092497D">
              <w:rPr>
                <w:rFonts w:ascii="Calibri" w:eastAsia="Calibri" w:hAnsi="Calibri" w:cs="Calibri"/>
                <w:noProof/>
                <w:sz w:val="20"/>
                <w:szCs w:val="20"/>
                <w:lang w:val="en-ZA"/>
              </w:rPr>
              <w:t>LILO Identity workshops</w:t>
            </w:r>
          </w:p>
          <w:p w14:paraId="6F116B8F" w14:textId="77777777" w:rsidR="00DC22BD" w:rsidRPr="0092497D" w:rsidRDefault="00DC22BD" w:rsidP="00DC22BD">
            <w:pPr>
              <w:pStyle w:val="ListParagraph"/>
              <w:numPr>
                <w:ilvl w:val="1"/>
                <w:numId w:val="31"/>
              </w:numPr>
              <w:rPr>
                <w:rFonts w:ascii="Calibri" w:eastAsia="Calibri" w:hAnsi="Calibri" w:cs="Calibri"/>
                <w:noProof/>
                <w:sz w:val="20"/>
                <w:szCs w:val="20"/>
                <w:lang w:val="en-ZA"/>
              </w:rPr>
            </w:pPr>
            <w:r w:rsidRPr="0092497D">
              <w:rPr>
                <w:rFonts w:ascii="Calibri" w:eastAsia="Calibri" w:hAnsi="Calibri" w:cs="Calibri"/>
                <w:noProof/>
                <w:sz w:val="20"/>
                <w:szCs w:val="20"/>
                <w:lang w:val="en-ZA"/>
              </w:rPr>
              <w:t>LILO Work</w:t>
            </w:r>
          </w:p>
          <w:p w14:paraId="41B01C80" w14:textId="77777777" w:rsidR="00B4696B" w:rsidRDefault="00DC22BD" w:rsidP="00DC22BD">
            <w:pPr>
              <w:pStyle w:val="ListParagraph"/>
              <w:numPr>
                <w:ilvl w:val="1"/>
                <w:numId w:val="31"/>
              </w:numPr>
              <w:rPr>
                <w:rFonts w:ascii="Calibri" w:eastAsia="Calibri" w:hAnsi="Calibri" w:cs="Calibri"/>
                <w:noProof/>
                <w:sz w:val="20"/>
                <w:szCs w:val="20"/>
                <w:lang w:val="en-ZA"/>
              </w:rPr>
            </w:pPr>
            <w:r w:rsidRPr="0092497D">
              <w:rPr>
                <w:rFonts w:ascii="Calibri" w:eastAsia="Calibri" w:hAnsi="Calibri" w:cs="Calibri"/>
                <w:noProof/>
                <w:sz w:val="20"/>
                <w:szCs w:val="20"/>
                <w:lang w:val="en-ZA"/>
              </w:rPr>
              <w:t>Song of Freedom (new version</w:t>
            </w:r>
            <w:r>
              <w:rPr>
                <w:rFonts w:ascii="Calibri" w:eastAsia="Calibri" w:hAnsi="Calibri" w:cs="Calibri"/>
                <w:noProof/>
                <w:sz w:val="20"/>
                <w:szCs w:val="20"/>
                <w:lang w:val="en-ZA"/>
              </w:rPr>
              <w:t xml:space="preserve"> for young women</w:t>
            </w:r>
            <w:r w:rsidRPr="0092497D">
              <w:rPr>
                <w:rFonts w:ascii="Calibri" w:eastAsia="Calibri" w:hAnsi="Calibri" w:cs="Calibri"/>
                <w:noProof/>
                <w:sz w:val="20"/>
                <w:szCs w:val="20"/>
                <w:lang w:val="en-ZA"/>
              </w:rPr>
              <w:t>)</w:t>
            </w:r>
          </w:p>
          <w:p w14:paraId="5D42933E" w14:textId="05B9BDB9" w:rsidR="00DC22BD" w:rsidRPr="00B4696B" w:rsidRDefault="00B4696B" w:rsidP="00DC22BD">
            <w:pPr>
              <w:pStyle w:val="ListParagraph"/>
              <w:numPr>
                <w:ilvl w:val="1"/>
                <w:numId w:val="31"/>
              </w:numPr>
              <w:rPr>
                <w:rFonts w:ascii="Calibri" w:eastAsia="Calibri" w:hAnsi="Calibri" w:cs="Calibri"/>
                <w:noProof/>
                <w:sz w:val="20"/>
                <w:szCs w:val="20"/>
                <w:lang w:val="en-ZA"/>
              </w:rPr>
            </w:pPr>
            <w:r w:rsidRPr="00B4696B">
              <w:rPr>
                <w:rFonts w:ascii="Calibri" w:eastAsia="Calibri" w:hAnsi="Calibri" w:cs="Calibri"/>
                <w:noProof/>
                <w:sz w:val="20"/>
                <w:szCs w:val="20"/>
                <w:lang w:val="en-ZA"/>
              </w:rPr>
              <w:t>Ot</w:t>
            </w:r>
            <w:r w:rsidR="00DC22BD" w:rsidRPr="00B4696B">
              <w:rPr>
                <w:rFonts w:ascii="Calibri" w:eastAsia="Calibri" w:hAnsi="Calibri" w:cs="Calibri"/>
                <w:noProof/>
                <w:sz w:val="20"/>
                <w:szCs w:val="20"/>
                <w:lang w:val="en-ZA"/>
              </w:rPr>
              <w:t>her tailored workshops, meetings and activities</w:t>
            </w:r>
          </w:p>
        </w:tc>
      </w:tr>
      <w:tr w:rsidR="005014B4" w:rsidRPr="00BD388B" w14:paraId="16B5233B" w14:textId="77777777" w:rsidTr="00CC47FA">
        <w:tc>
          <w:tcPr>
            <w:tcW w:w="4390" w:type="dxa"/>
          </w:tcPr>
          <w:p w14:paraId="0BFF31C0" w14:textId="6818D5D1" w:rsidR="005014B4" w:rsidRPr="0092497D" w:rsidRDefault="00B8317B" w:rsidP="00E630F0">
            <w:pPr>
              <w:pStyle w:val="ListParagraph"/>
              <w:widowControl/>
              <w:numPr>
                <w:ilvl w:val="0"/>
                <w:numId w:val="31"/>
              </w:numPr>
              <w:spacing w:after="0" w:line="240" w:lineRule="auto"/>
              <w:rPr>
                <w:rFonts w:ascii="Calibri" w:eastAsia="Calibri" w:hAnsi="Calibri" w:cs="Calibri"/>
                <w:sz w:val="20"/>
                <w:szCs w:val="20"/>
                <w:lang w:val="en-ZA"/>
              </w:rPr>
            </w:pPr>
            <w:r>
              <w:rPr>
                <w:rFonts w:ascii="Calibri" w:eastAsia="Calibri" w:hAnsi="Calibri" w:cs="Calibri"/>
                <w:noProof/>
                <w:sz w:val="20"/>
                <w:szCs w:val="20"/>
                <w:highlight w:val="yellow"/>
                <w:lang w:val="en-ZA"/>
              </w:rPr>
              <w:t>Local communities</w:t>
            </w:r>
            <w:r w:rsidR="00EC1B9D" w:rsidRPr="008F2010">
              <w:rPr>
                <w:rFonts w:ascii="Calibri" w:eastAsia="Calibri" w:hAnsi="Calibri" w:cs="Calibri"/>
                <w:noProof/>
                <w:sz w:val="20"/>
                <w:szCs w:val="20"/>
                <w:highlight w:val="yellow"/>
                <w:lang w:val="en-ZA"/>
              </w:rPr>
              <w:t xml:space="preserve"> </w:t>
            </w:r>
            <w:r>
              <w:rPr>
                <w:rFonts w:ascii="Calibri" w:eastAsia="Calibri" w:hAnsi="Calibri" w:cs="Calibri"/>
                <w:noProof/>
                <w:sz w:val="20"/>
                <w:szCs w:val="20"/>
                <w:highlight w:val="yellow"/>
                <w:lang w:val="en-ZA"/>
              </w:rPr>
              <w:t>are</w:t>
            </w:r>
            <w:r w:rsidR="006E4D86">
              <w:rPr>
                <w:rFonts w:ascii="Calibri" w:eastAsia="Calibri" w:hAnsi="Calibri" w:cs="Calibri"/>
                <w:noProof/>
                <w:sz w:val="20"/>
                <w:szCs w:val="20"/>
                <w:highlight w:val="yellow"/>
                <w:lang w:val="en-ZA"/>
              </w:rPr>
              <w:t xml:space="preserve"> more supportive </w:t>
            </w:r>
            <w:r w:rsidR="00760B4D">
              <w:rPr>
                <w:rFonts w:ascii="Calibri" w:eastAsia="Calibri" w:hAnsi="Calibri" w:cs="Calibri"/>
                <w:noProof/>
                <w:sz w:val="20"/>
                <w:szCs w:val="20"/>
                <w:highlight w:val="yellow"/>
                <w:lang w:val="en-ZA"/>
              </w:rPr>
              <w:t>towards the target group</w:t>
            </w:r>
            <w:r w:rsidR="00950279">
              <w:rPr>
                <w:rFonts w:ascii="Calibri" w:eastAsia="Calibri" w:hAnsi="Calibri" w:cs="Calibri"/>
                <w:noProof/>
                <w:sz w:val="20"/>
                <w:szCs w:val="20"/>
                <w:highlight w:val="yellow"/>
                <w:lang w:val="en-ZA"/>
              </w:rPr>
              <w:t>s</w:t>
            </w:r>
            <w:r w:rsidR="006E4D86">
              <w:rPr>
                <w:rFonts w:ascii="Calibri" w:eastAsia="Calibri" w:hAnsi="Calibri" w:cs="Calibri"/>
                <w:noProof/>
                <w:sz w:val="20"/>
                <w:szCs w:val="20"/>
                <w:highlight w:val="yellow"/>
                <w:lang w:val="en-ZA"/>
              </w:rPr>
              <w:t>. This is achieved</w:t>
            </w:r>
            <w:r w:rsidR="00760B4D">
              <w:rPr>
                <w:rFonts w:ascii="Calibri" w:eastAsia="Calibri" w:hAnsi="Calibri" w:cs="Calibri"/>
                <w:noProof/>
                <w:sz w:val="20"/>
                <w:szCs w:val="20"/>
                <w:highlight w:val="yellow"/>
                <w:lang w:val="en-ZA"/>
              </w:rPr>
              <w:t xml:space="preserve"> through </w:t>
            </w:r>
            <w:r w:rsidR="00EC1B9D" w:rsidRPr="008F2010">
              <w:rPr>
                <w:rFonts w:ascii="Calibri" w:eastAsia="Calibri" w:hAnsi="Calibri" w:cs="Calibri"/>
                <w:noProof/>
                <w:sz w:val="20"/>
                <w:szCs w:val="20"/>
                <w:highlight w:val="yellow"/>
                <w:lang w:val="en-ZA"/>
              </w:rPr>
              <w:t>influence/advocacy work</w:t>
            </w:r>
            <w:r w:rsidR="0013113E">
              <w:rPr>
                <w:rFonts w:ascii="Calibri" w:eastAsia="Calibri" w:hAnsi="Calibri" w:cs="Calibri"/>
                <w:noProof/>
                <w:sz w:val="20"/>
                <w:szCs w:val="20"/>
                <w:highlight w:val="yellow"/>
                <w:lang w:val="en-ZA"/>
              </w:rPr>
              <w:t xml:space="preserve"> carried out</w:t>
            </w:r>
            <w:r w:rsidR="00EC1B9D" w:rsidRPr="008F2010">
              <w:rPr>
                <w:rFonts w:ascii="Calibri" w:eastAsia="Calibri" w:hAnsi="Calibri" w:cs="Calibri"/>
                <w:noProof/>
                <w:sz w:val="20"/>
                <w:szCs w:val="20"/>
                <w:highlight w:val="yellow"/>
                <w:lang w:val="en-ZA"/>
              </w:rPr>
              <w:t xml:space="preserve"> towards local  community and governmental  structures, e.g. traditional and relegious leaders, teachers, the health system, the school system, the police etc</w:t>
            </w:r>
          </w:p>
        </w:tc>
        <w:tc>
          <w:tcPr>
            <w:tcW w:w="5244" w:type="dxa"/>
          </w:tcPr>
          <w:p w14:paraId="582446C0" w14:textId="0DF9BE76" w:rsidR="005014B4" w:rsidRPr="00E111FF" w:rsidRDefault="005014B4" w:rsidP="00D127D8">
            <w:pPr>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 xml:space="preserve">This </w:t>
            </w:r>
            <w:r w:rsidR="003529CE" w:rsidRPr="00E111FF">
              <w:rPr>
                <w:rFonts w:ascii="Calibri" w:eastAsia="Calibri" w:hAnsi="Calibri" w:cs="Calibri"/>
                <w:noProof/>
                <w:sz w:val="20"/>
                <w:szCs w:val="20"/>
                <w:highlight w:val="yellow"/>
                <w:lang w:val="en-ZA"/>
              </w:rPr>
              <w:t>work will include activities like</w:t>
            </w:r>
            <w:r w:rsidRPr="00E111FF">
              <w:rPr>
                <w:rFonts w:ascii="Calibri" w:eastAsia="Calibri" w:hAnsi="Calibri" w:cs="Calibri"/>
                <w:noProof/>
                <w:sz w:val="20"/>
                <w:szCs w:val="20"/>
                <w:highlight w:val="yellow"/>
                <w:lang w:val="en-ZA"/>
              </w:rPr>
              <w:t>:</w:t>
            </w:r>
          </w:p>
          <w:p w14:paraId="02BB0FD7" w14:textId="77777777"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 xml:space="preserve">Faith and LGBT dialogue sessions </w:t>
            </w:r>
          </w:p>
          <w:p w14:paraId="5D5B67A5" w14:textId="77777777"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Community Led Monitoring processes e.g. around Health systems (Setting the Levels)</w:t>
            </w:r>
          </w:p>
          <w:p w14:paraId="16A41C28" w14:textId="16D61982"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 xml:space="preserve">Supporting well being, safety and support through linkages to </w:t>
            </w:r>
            <w:r w:rsidR="001911C8">
              <w:rPr>
                <w:rFonts w:ascii="Calibri" w:eastAsia="Calibri" w:hAnsi="Calibri" w:cs="Calibri"/>
                <w:noProof/>
                <w:sz w:val="20"/>
                <w:szCs w:val="20"/>
                <w:highlight w:val="yellow"/>
                <w:lang w:val="en-ZA"/>
              </w:rPr>
              <w:t>G</w:t>
            </w:r>
            <w:r w:rsidRPr="00E111FF">
              <w:rPr>
                <w:rFonts w:ascii="Calibri" w:eastAsia="Calibri" w:hAnsi="Calibri" w:cs="Calibri"/>
                <w:noProof/>
                <w:sz w:val="20"/>
                <w:szCs w:val="20"/>
                <w:highlight w:val="yellow"/>
                <w:lang w:val="en-ZA"/>
              </w:rPr>
              <w:t>ender based violence units, Office of the Ombudsman, as well as Covid-19 support programmes locally</w:t>
            </w:r>
          </w:p>
          <w:p w14:paraId="30D8F4A3" w14:textId="77777777"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Legal and human rights literacy sessions</w:t>
            </w:r>
          </w:p>
          <w:p w14:paraId="0E2DDD58" w14:textId="77777777"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Intergenerational dialogues between older  leaders and AGYW and LGBT persons between the ages of 15-24 years</w:t>
            </w:r>
          </w:p>
          <w:p w14:paraId="1091416D" w14:textId="77777777"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documentation of human rights violations and collection of stories for advocacy work</w:t>
            </w:r>
          </w:p>
          <w:p w14:paraId="2F87BEE0" w14:textId="77777777"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specific targeted advocacy events</w:t>
            </w:r>
          </w:p>
          <w:p w14:paraId="05B26DC5" w14:textId="4F145D54"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bookmarkStart w:id="57" w:name="_Hlk111196818"/>
            <w:r w:rsidRPr="00E111FF">
              <w:rPr>
                <w:rFonts w:ascii="Calibri" w:eastAsia="Calibri" w:hAnsi="Calibri" w:cs="Calibri"/>
                <w:noProof/>
                <w:sz w:val="20"/>
                <w:szCs w:val="20"/>
                <w:highlight w:val="yellow"/>
                <w:lang w:val="en-ZA"/>
              </w:rPr>
              <w:t xml:space="preserve">local media work, with local radio stations, series of conversations around young marriages, how to </w:t>
            </w:r>
            <w:r w:rsidRPr="00E111FF">
              <w:rPr>
                <w:rFonts w:ascii="Calibri" w:eastAsia="Calibri" w:hAnsi="Calibri" w:cs="Calibri"/>
                <w:noProof/>
                <w:sz w:val="20"/>
                <w:szCs w:val="20"/>
                <w:highlight w:val="yellow"/>
                <w:lang w:val="en-ZA"/>
              </w:rPr>
              <w:lastRenderedPageBreak/>
              <w:t xml:space="preserve">acces the local offices of  Ombudsman, how to access the </w:t>
            </w:r>
            <w:r w:rsidR="003D6462">
              <w:rPr>
                <w:rFonts w:ascii="Calibri" w:eastAsia="Calibri" w:hAnsi="Calibri" w:cs="Calibri"/>
                <w:noProof/>
                <w:sz w:val="20"/>
                <w:szCs w:val="20"/>
                <w:highlight w:val="yellow"/>
                <w:lang w:val="en-ZA"/>
              </w:rPr>
              <w:t>g</w:t>
            </w:r>
            <w:r w:rsidRPr="00E111FF">
              <w:rPr>
                <w:rFonts w:ascii="Calibri" w:eastAsia="Calibri" w:hAnsi="Calibri" w:cs="Calibri"/>
                <w:noProof/>
                <w:sz w:val="20"/>
                <w:szCs w:val="20"/>
                <w:highlight w:val="yellow"/>
                <w:lang w:val="en-ZA"/>
              </w:rPr>
              <w:t>bv units etc,</w:t>
            </w:r>
          </w:p>
          <w:p w14:paraId="2929E29A" w14:textId="77777777" w:rsidR="005014B4" w:rsidRPr="00E111FF" w:rsidRDefault="005014B4" w:rsidP="00E111FF">
            <w:pPr>
              <w:pStyle w:val="ListParagraph"/>
              <w:widowControl/>
              <w:numPr>
                <w:ilvl w:val="1"/>
                <w:numId w:val="45"/>
              </w:numPr>
              <w:spacing w:after="0" w:line="240" w:lineRule="auto"/>
              <w:rPr>
                <w:rFonts w:ascii="Calibri" w:eastAsia="Calibri" w:hAnsi="Calibri" w:cs="Calibri"/>
                <w:noProof/>
                <w:sz w:val="20"/>
                <w:szCs w:val="20"/>
                <w:highlight w:val="yellow"/>
                <w:lang w:val="en-ZA"/>
              </w:rPr>
            </w:pPr>
            <w:r w:rsidRPr="00E111FF">
              <w:rPr>
                <w:rFonts w:ascii="Calibri" w:eastAsia="Calibri" w:hAnsi="Calibri" w:cs="Calibri"/>
                <w:noProof/>
                <w:sz w:val="20"/>
                <w:szCs w:val="20"/>
                <w:highlight w:val="yellow"/>
                <w:lang w:val="en-ZA"/>
              </w:rPr>
              <w:t xml:space="preserve">social media work </w:t>
            </w:r>
          </w:p>
          <w:bookmarkEnd w:id="57"/>
          <w:p w14:paraId="46E70516" w14:textId="77777777" w:rsidR="005014B4" w:rsidRPr="0092497D" w:rsidRDefault="005014B4" w:rsidP="00D127D8">
            <w:pPr>
              <w:rPr>
                <w:rFonts w:ascii="Calibri" w:eastAsia="Calibri" w:hAnsi="Calibri" w:cs="Calibri"/>
                <w:noProof/>
                <w:color w:val="FF0000"/>
                <w:sz w:val="20"/>
                <w:szCs w:val="20"/>
                <w:lang w:val="en-ZA"/>
              </w:rPr>
            </w:pPr>
          </w:p>
          <w:p w14:paraId="4C092AA0" w14:textId="06E5D7F8" w:rsidR="005014B4" w:rsidRPr="0092497D" w:rsidRDefault="005014B4" w:rsidP="003529CE">
            <w:pPr>
              <w:rPr>
                <w:rFonts w:ascii="Calibri" w:eastAsia="Calibri" w:hAnsi="Calibri" w:cs="Calibri"/>
                <w:noProof/>
                <w:sz w:val="20"/>
                <w:szCs w:val="20"/>
                <w:lang w:val="en-ZA"/>
              </w:rPr>
            </w:pPr>
            <w:r w:rsidRPr="005D69D9">
              <w:rPr>
                <w:rFonts w:ascii="Calibri" w:eastAsia="Calibri" w:hAnsi="Calibri" w:cs="Calibri"/>
                <w:noProof/>
                <w:sz w:val="20"/>
                <w:szCs w:val="20"/>
                <w:highlight w:val="yellow"/>
                <w:lang w:val="en-ZA"/>
              </w:rPr>
              <w:t xml:space="preserve">This output will involve a wide range of activities at community level across the target areas coordinated by the partners. </w:t>
            </w:r>
            <w:r w:rsidR="00A56599" w:rsidRPr="005D69D9">
              <w:rPr>
                <w:rFonts w:ascii="Calibri" w:eastAsia="Calibri" w:hAnsi="Calibri" w:cs="Calibri"/>
                <w:noProof/>
                <w:sz w:val="20"/>
                <w:szCs w:val="20"/>
                <w:highlight w:val="yellow"/>
                <w:lang w:val="en-ZA"/>
              </w:rPr>
              <w:t xml:space="preserve">The </w:t>
            </w:r>
            <w:r w:rsidR="003F5004" w:rsidRPr="005D69D9">
              <w:rPr>
                <w:rFonts w:ascii="Calibri" w:eastAsia="Calibri" w:hAnsi="Calibri" w:cs="Calibri"/>
                <w:noProof/>
                <w:sz w:val="20"/>
                <w:szCs w:val="20"/>
                <w:highlight w:val="yellow"/>
                <w:lang w:val="en-ZA"/>
              </w:rPr>
              <w:t xml:space="preserve">specific package of </w:t>
            </w:r>
            <w:r w:rsidR="00A56599" w:rsidRPr="005D69D9">
              <w:rPr>
                <w:rFonts w:ascii="Calibri" w:eastAsia="Calibri" w:hAnsi="Calibri" w:cs="Calibri"/>
                <w:noProof/>
                <w:sz w:val="20"/>
                <w:szCs w:val="20"/>
                <w:highlight w:val="yellow"/>
                <w:lang w:val="en-ZA"/>
              </w:rPr>
              <w:t>activities</w:t>
            </w:r>
            <w:r w:rsidRPr="005D69D9">
              <w:rPr>
                <w:rFonts w:ascii="Calibri" w:eastAsia="Calibri" w:hAnsi="Calibri" w:cs="Calibri"/>
                <w:noProof/>
                <w:sz w:val="20"/>
                <w:szCs w:val="20"/>
                <w:highlight w:val="yellow"/>
                <w:lang w:val="en-ZA"/>
              </w:rPr>
              <w:t xml:space="preserve"> </w:t>
            </w:r>
            <w:r w:rsidR="003F5004" w:rsidRPr="005D69D9">
              <w:rPr>
                <w:rFonts w:ascii="Calibri" w:eastAsia="Calibri" w:hAnsi="Calibri" w:cs="Calibri"/>
                <w:noProof/>
                <w:sz w:val="20"/>
                <w:szCs w:val="20"/>
                <w:highlight w:val="yellow"/>
                <w:lang w:val="en-ZA"/>
              </w:rPr>
              <w:t xml:space="preserve">in each community </w:t>
            </w:r>
            <w:r w:rsidR="00604E74" w:rsidRPr="005D69D9">
              <w:rPr>
                <w:rFonts w:ascii="Calibri" w:eastAsia="Calibri" w:hAnsi="Calibri" w:cs="Calibri"/>
                <w:noProof/>
                <w:sz w:val="20"/>
                <w:szCs w:val="20"/>
                <w:highlight w:val="yellow"/>
                <w:lang w:val="en-ZA"/>
              </w:rPr>
              <w:t xml:space="preserve">will include </w:t>
            </w:r>
            <w:r w:rsidR="00604E74" w:rsidRPr="005D69D9">
              <w:rPr>
                <w:rFonts w:ascii="Calibri" w:eastAsia="Calibri" w:hAnsi="Calibri" w:cs="Calibri"/>
                <w:b/>
                <w:bCs/>
                <w:noProof/>
                <w:sz w:val="20"/>
                <w:szCs w:val="20"/>
                <w:highlight w:val="yellow"/>
                <w:lang w:val="en-ZA"/>
              </w:rPr>
              <w:t>a selection</w:t>
            </w:r>
            <w:r w:rsidR="00604E74" w:rsidRPr="005D69D9">
              <w:rPr>
                <w:rFonts w:ascii="Calibri" w:eastAsia="Calibri" w:hAnsi="Calibri" w:cs="Calibri"/>
                <w:noProof/>
                <w:sz w:val="20"/>
                <w:szCs w:val="20"/>
                <w:highlight w:val="yellow"/>
                <w:lang w:val="en-ZA"/>
              </w:rPr>
              <w:t xml:space="preserve"> of above mentioned activities and </w:t>
            </w:r>
            <w:r w:rsidRPr="005D69D9">
              <w:rPr>
                <w:rFonts w:ascii="Calibri" w:eastAsia="Calibri" w:hAnsi="Calibri" w:cs="Calibri"/>
                <w:noProof/>
                <w:sz w:val="20"/>
                <w:szCs w:val="20"/>
                <w:highlight w:val="yellow"/>
                <w:lang w:val="en-ZA"/>
              </w:rPr>
              <w:t xml:space="preserve">will be planned by the partner organisations in dialogue with PV </w:t>
            </w:r>
            <w:r w:rsidR="00252760">
              <w:rPr>
                <w:rFonts w:ascii="Calibri" w:eastAsia="Calibri" w:hAnsi="Calibri" w:cs="Calibri"/>
                <w:noProof/>
                <w:sz w:val="20"/>
                <w:szCs w:val="20"/>
                <w:highlight w:val="yellow"/>
                <w:lang w:val="en-ZA"/>
              </w:rPr>
              <w:t xml:space="preserve">building on the initial training under </w:t>
            </w:r>
            <w:r w:rsidR="00357705">
              <w:rPr>
                <w:rFonts w:ascii="Calibri" w:eastAsia="Calibri" w:hAnsi="Calibri" w:cs="Calibri"/>
                <w:noProof/>
                <w:sz w:val="20"/>
                <w:szCs w:val="20"/>
                <w:highlight w:val="yellow"/>
                <w:lang w:val="en-ZA"/>
              </w:rPr>
              <w:t xml:space="preserve">Outcome 1 and </w:t>
            </w:r>
            <w:r w:rsidRPr="005D69D9">
              <w:rPr>
                <w:rFonts w:ascii="Calibri" w:eastAsia="Calibri" w:hAnsi="Calibri" w:cs="Calibri"/>
                <w:noProof/>
                <w:sz w:val="20"/>
                <w:szCs w:val="20"/>
                <w:highlight w:val="yellow"/>
                <w:lang w:val="en-ZA"/>
              </w:rPr>
              <w:t>based on local needs and opportunities</w:t>
            </w:r>
            <w:r w:rsidR="003F3423" w:rsidRPr="005D69D9">
              <w:rPr>
                <w:rFonts w:ascii="Calibri" w:eastAsia="Calibri" w:hAnsi="Calibri" w:cs="Calibri"/>
                <w:noProof/>
                <w:sz w:val="20"/>
                <w:szCs w:val="20"/>
                <w:highlight w:val="yellow"/>
                <w:lang w:val="en-ZA"/>
              </w:rPr>
              <w:t>. The implementation</w:t>
            </w:r>
            <w:r w:rsidRPr="005D69D9">
              <w:rPr>
                <w:rFonts w:ascii="Calibri" w:eastAsia="Calibri" w:hAnsi="Calibri" w:cs="Calibri"/>
                <w:noProof/>
                <w:sz w:val="20"/>
                <w:szCs w:val="20"/>
                <w:highlight w:val="yellow"/>
                <w:lang w:val="en-ZA"/>
              </w:rPr>
              <w:t xml:space="preserve"> will be managed by the partner organisations</w:t>
            </w:r>
            <w:r w:rsidR="005D69D9" w:rsidRPr="005D69D9">
              <w:rPr>
                <w:rFonts w:ascii="Calibri" w:eastAsia="Calibri" w:hAnsi="Calibri" w:cs="Calibri"/>
                <w:noProof/>
                <w:sz w:val="20"/>
                <w:szCs w:val="20"/>
                <w:highlight w:val="yellow"/>
                <w:lang w:val="en-ZA"/>
              </w:rPr>
              <w:t xml:space="preserve"> </w:t>
            </w:r>
            <w:r w:rsidR="003F3423" w:rsidRPr="005D69D9">
              <w:rPr>
                <w:rFonts w:ascii="Calibri" w:eastAsia="Calibri" w:hAnsi="Calibri" w:cs="Calibri"/>
                <w:noProof/>
                <w:sz w:val="20"/>
                <w:szCs w:val="20"/>
                <w:highlight w:val="yellow"/>
                <w:lang w:val="en-ZA"/>
              </w:rPr>
              <w:t xml:space="preserve">with support </w:t>
            </w:r>
            <w:r w:rsidR="005D69D9" w:rsidRPr="005D69D9">
              <w:rPr>
                <w:rFonts w:ascii="Calibri" w:eastAsia="Calibri" w:hAnsi="Calibri" w:cs="Calibri"/>
                <w:noProof/>
                <w:sz w:val="20"/>
                <w:szCs w:val="20"/>
                <w:highlight w:val="yellow"/>
                <w:lang w:val="en-ZA"/>
              </w:rPr>
              <w:t xml:space="preserve">from PV </w:t>
            </w:r>
            <w:r w:rsidRPr="005D69D9">
              <w:rPr>
                <w:rFonts w:ascii="Calibri" w:eastAsia="Calibri" w:hAnsi="Calibri" w:cs="Calibri"/>
                <w:noProof/>
                <w:sz w:val="20"/>
                <w:szCs w:val="20"/>
                <w:highlight w:val="yellow"/>
                <w:lang w:val="en-ZA"/>
              </w:rPr>
              <w:t>and funded through grants from PV.</w:t>
            </w:r>
            <w:r w:rsidRPr="0092497D">
              <w:rPr>
                <w:rFonts w:ascii="Calibri" w:eastAsia="Calibri" w:hAnsi="Calibri" w:cs="Calibri"/>
                <w:noProof/>
                <w:sz w:val="20"/>
                <w:szCs w:val="20"/>
                <w:lang w:val="en-ZA"/>
              </w:rPr>
              <w:t xml:space="preserve"> </w:t>
            </w:r>
            <w:r>
              <w:rPr>
                <w:rFonts w:ascii="Calibri" w:eastAsia="Calibri" w:hAnsi="Calibri" w:cs="Calibri"/>
                <w:noProof/>
                <w:sz w:val="20"/>
                <w:szCs w:val="20"/>
                <w:lang w:val="en-ZA"/>
              </w:rPr>
              <w:t xml:space="preserve"> </w:t>
            </w:r>
          </w:p>
        </w:tc>
      </w:tr>
      <w:tr w:rsidR="005014B4" w:rsidRPr="00BD388B" w14:paraId="7D9686A9" w14:textId="77777777" w:rsidTr="00CC47FA">
        <w:tc>
          <w:tcPr>
            <w:tcW w:w="4390" w:type="dxa"/>
          </w:tcPr>
          <w:p w14:paraId="3E153F83" w14:textId="77777777" w:rsidR="005014B4" w:rsidRPr="0092497D" w:rsidRDefault="005014B4" w:rsidP="00D127D8">
            <w:pPr>
              <w:pStyle w:val="ListParagraph"/>
              <w:widowControl/>
              <w:numPr>
                <w:ilvl w:val="0"/>
                <w:numId w:val="31"/>
              </w:numPr>
              <w:spacing w:after="0" w:line="240" w:lineRule="auto"/>
              <w:rPr>
                <w:rFonts w:ascii="Calibri" w:eastAsia="Calibri" w:hAnsi="Calibri" w:cs="Calibri"/>
                <w:sz w:val="20"/>
                <w:szCs w:val="20"/>
                <w:lang w:val="en-ZA"/>
              </w:rPr>
            </w:pPr>
            <w:r w:rsidRPr="0092497D">
              <w:rPr>
                <w:rFonts w:ascii="Calibri" w:eastAsia="Calibri" w:hAnsi="Calibri" w:cs="Calibri"/>
                <w:sz w:val="20"/>
                <w:szCs w:val="20"/>
                <w:lang w:val="en-ZA"/>
              </w:rPr>
              <w:lastRenderedPageBreak/>
              <w:t xml:space="preserve">Learning together </w:t>
            </w:r>
          </w:p>
        </w:tc>
        <w:tc>
          <w:tcPr>
            <w:tcW w:w="5244" w:type="dxa"/>
          </w:tcPr>
          <w:p w14:paraId="50325D74" w14:textId="3C177580" w:rsidR="005014B4" w:rsidRPr="0092497D" w:rsidRDefault="005014B4" w:rsidP="00D127D8">
            <w:pPr>
              <w:pStyle w:val="ListParagraph"/>
              <w:widowControl/>
              <w:numPr>
                <w:ilvl w:val="1"/>
                <w:numId w:val="31"/>
              </w:numPr>
              <w:spacing w:after="0" w:line="240" w:lineRule="auto"/>
              <w:rPr>
                <w:rFonts w:ascii="Calibri" w:eastAsia="Calibri" w:hAnsi="Calibri" w:cs="Calibri"/>
                <w:sz w:val="20"/>
                <w:szCs w:val="20"/>
                <w:lang w:val="en-ZA"/>
              </w:rPr>
            </w:pPr>
            <w:r>
              <w:rPr>
                <w:rFonts w:ascii="Calibri" w:eastAsia="Calibri" w:hAnsi="Calibri" w:cs="Calibri"/>
                <w:sz w:val="20"/>
                <w:szCs w:val="20"/>
                <w:lang w:val="en-ZA"/>
              </w:rPr>
              <w:t xml:space="preserve">Internal review and </w:t>
            </w:r>
            <w:r w:rsidRPr="0092497D">
              <w:rPr>
                <w:rFonts w:ascii="Calibri" w:eastAsia="Calibri" w:hAnsi="Calibri" w:cs="Calibri"/>
                <w:sz w:val="20"/>
                <w:szCs w:val="20"/>
                <w:lang w:val="en-ZA"/>
              </w:rPr>
              <w:t xml:space="preserve">learning and </w:t>
            </w:r>
            <w:r>
              <w:rPr>
                <w:rFonts w:ascii="Calibri" w:eastAsia="Calibri" w:hAnsi="Calibri" w:cs="Calibri"/>
                <w:sz w:val="20"/>
                <w:szCs w:val="20"/>
                <w:lang w:val="en-ZA"/>
              </w:rPr>
              <w:t xml:space="preserve">combined with </w:t>
            </w:r>
            <w:r w:rsidRPr="0092497D">
              <w:rPr>
                <w:rFonts w:ascii="Calibri" w:eastAsia="Calibri" w:hAnsi="Calibri" w:cs="Calibri"/>
                <w:sz w:val="20"/>
                <w:szCs w:val="20"/>
                <w:lang w:val="en-ZA"/>
              </w:rPr>
              <w:t>sharing event across the participating partners and beyond to enhance organisational practice</w:t>
            </w:r>
            <w:r>
              <w:rPr>
                <w:rFonts w:ascii="Calibri" w:eastAsia="Calibri" w:hAnsi="Calibri" w:cs="Calibri"/>
                <w:sz w:val="20"/>
                <w:szCs w:val="20"/>
                <w:lang w:val="en-ZA"/>
              </w:rPr>
              <w:t xml:space="preserve">. </w:t>
            </w:r>
          </w:p>
          <w:p w14:paraId="37381551" w14:textId="77777777" w:rsidR="005014B4" w:rsidRPr="0092497D" w:rsidRDefault="005014B4" w:rsidP="00D127D8">
            <w:pPr>
              <w:pStyle w:val="ListParagraph"/>
              <w:widowControl/>
              <w:numPr>
                <w:ilvl w:val="1"/>
                <w:numId w:val="31"/>
              </w:numPr>
              <w:spacing w:after="0" w:line="240" w:lineRule="auto"/>
              <w:rPr>
                <w:rFonts w:ascii="Calibri" w:eastAsia="Calibri" w:hAnsi="Calibri" w:cs="Calibri"/>
                <w:sz w:val="20"/>
                <w:szCs w:val="20"/>
                <w:lang w:val="en-ZA"/>
              </w:rPr>
            </w:pPr>
            <w:r w:rsidRPr="0092497D">
              <w:rPr>
                <w:rFonts w:ascii="Calibri" w:eastAsia="Calibri" w:hAnsi="Calibri" w:cs="Calibri"/>
                <w:sz w:val="20"/>
                <w:szCs w:val="20"/>
                <w:lang w:val="en-ZA"/>
              </w:rPr>
              <w:t>PV Accompanying partners for the duration of the project.</w:t>
            </w:r>
          </w:p>
        </w:tc>
      </w:tr>
    </w:tbl>
    <w:p w14:paraId="5B3C32DF" w14:textId="77772E5F" w:rsidR="00633EB2" w:rsidRDefault="00633EB2" w:rsidP="00BF2279">
      <w:pPr>
        <w:rPr>
          <w:rFonts w:ascii="Calibri" w:eastAsia="Calibri" w:hAnsi="Calibri" w:cs="Calibri"/>
          <w:sz w:val="20"/>
          <w:szCs w:val="20"/>
          <w:lang w:val="en-ZA"/>
        </w:rPr>
      </w:pPr>
    </w:p>
    <w:p w14:paraId="323AF929" w14:textId="77777777" w:rsidR="00633EB2" w:rsidRPr="0092497D" w:rsidRDefault="00633EB2" w:rsidP="00BF2279">
      <w:pPr>
        <w:rPr>
          <w:rFonts w:ascii="Calibri" w:eastAsia="Calibri" w:hAnsi="Calibri" w:cs="Calibri"/>
          <w:sz w:val="20"/>
          <w:szCs w:val="20"/>
          <w:lang w:val="en-ZA"/>
        </w:rPr>
      </w:pPr>
    </w:p>
    <w:p w14:paraId="4C6FED1A" w14:textId="301903B7" w:rsidR="00746D9A" w:rsidRPr="00B72BD5" w:rsidRDefault="00314AA7" w:rsidP="00334B32">
      <w:pPr>
        <w:pStyle w:val="Heading2"/>
      </w:pPr>
      <w:bookmarkStart w:id="58" w:name="_Toc113951224"/>
      <w:bookmarkEnd w:id="51"/>
      <w:r w:rsidRPr="00667B36">
        <w:t>L</w:t>
      </w:r>
      <w:r w:rsidR="00746D9A" w:rsidRPr="00667B36">
        <w:t>asting</w:t>
      </w:r>
      <w:r w:rsidR="006F2421" w:rsidRPr="00667B36">
        <w:t xml:space="preserve"> and sustainable</w:t>
      </w:r>
      <w:r w:rsidR="00746D9A" w:rsidRPr="00667B36">
        <w:t xml:space="preserve"> improvements for poor, marginalised and vulnerable groups</w:t>
      </w:r>
      <w:bookmarkEnd w:id="52"/>
      <w:bookmarkEnd w:id="58"/>
    </w:p>
    <w:p w14:paraId="7CE7D9C8" w14:textId="235A287A" w:rsidR="00746D9A" w:rsidRPr="00B72BD5" w:rsidRDefault="00746D9A" w:rsidP="00334B32">
      <w:pPr>
        <w:rPr>
          <w:sz w:val="22"/>
          <w:szCs w:val="22"/>
          <w:lang w:val="en-ZA"/>
        </w:rPr>
      </w:pPr>
      <w:r w:rsidRPr="00B72BD5">
        <w:rPr>
          <w:sz w:val="22"/>
          <w:szCs w:val="22"/>
          <w:lang w:val="en-ZA"/>
        </w:rPr>
        <w:t xml:space="preserve">The changes affecting the direct target groups, i.e. LGBT+ youth and AGYWs (e.g. reduced stigma; enhanced agency and voice; safer schools and neighbourhoods; etc.), and the changes in the communities in which they live (better understanding of rights issues, and of gender and gender equity by community members and duty-bearers; collaborative relationships to address youth problems; changes in practice; etc.) will all </w:t>
      </w:r>
      <w:r w:rsidR="00EC1E28">
        <w:rPr>
          <w:sz w:val="22"/>
          <w:szCs w:val="22"/>
          <w:lang w:val="en-ZA"/>
        </w:rPr>
        <w:t xml:space="preserve">contribute </w:t>
      </w:r>
      <w:r w:rsidRPr="00B72BD5">
        <w:rPr>
          <w:sz w:val="22"/>
          <w:szCs w:val="22"/>
          <w:lang w:val="en-ZA"/>
        </w:rPr>
        <w:t xml:space="preserve"> to lasting improvement for those living in the target communities.</w:t>
      </w:r>
    </w:p>
    <w:p w14:paraId="59D480D2" w14:textId="3B686E93" w:rsidR="00746D9A" w:rsidRPr="00B72BD5" w:rsidRDefault="00746D9A" w:rsidP="00792229">
      <w:pPr>
        <w:ind w:firstLine="357"/>
        <w:rPr>
          <w:noProof/>
          <w:sz w:val="22"/>
          <w:szCs w:val="22"/>
          <w:lang w:val="en-ZA"/>
        </w:rPr>
      </w:pPr>
      <w:r w:rsidRPr="00B72BD5">
        <w:rPr>
          <w:noProof/>
          <w:sz w:val="22"/>
          <w:szCs w:val="22"/>
          <w:lang w:val="en-ZA"/>
        </w:rPr>
        <w:t xml:space="preserve">Below, we unpack the kinds of changes we expect to </w:t>
      </w:r>
      <w:r w:rsidR="0090758D">
        <w:rPr>
          <w:noProof/>
          <w:sz w:val="22"/>
          <w:szCs w:val="22"/>
          <w:lang w:val="en-ZA"/>
        </w:rPr>
        <w:t>contribute to</w:t>
      </w:r>
      <w:r w:rsidRPr="00B72BD5">
        <w:rPr>
          <w:noProof/>
          <w:sz w:val="22"/>
          <w:szCs w:val="22"/>
          <w:lang w:val="en-ZA"/>
        </w:rPr>
        <w:t xml:space="preserve"> at community</w:t>
      </w:r>
      <w:r w:rsidR="003F244A">
        <w:rPr>
          <w:noProof/>
          <w:sz w:val="22"/>
          <w:szCs w:val="22"/>
          <w:lang w:val="en-ZA"/>
        </w:rPr>
        <w:t xml:space="preserve"> level</w:t>
      </w:r>
      <w:r w:rsidR="00FD3CE8">
        <w:rPr>
          <w:noProof/>
          <w:sz w:val="22"/>
          <w:szCs w:val="22"/>
          <w:lang w:val="en-ZA"/>
        </w:rPr>
        <w:t>:</w:t>
      </w:r>
    </w:p>
    <w:p w14:paraId="14338F11" w14:textId="2C9565CA" w:rsidR="003F244A" w:rsidRDefault="003F244A" w:rsidP="00407190">
      <w:pPr>
        <w:pStyle w:val="ListParagraph"/>
        <w:numPr>
          <w:ilvl w:val="0"/>
          <w:numId w:val="9"/>
        </w:numPr>
        <w:spacing w:after="0" w:line="240" w:lineRule="auto"/>
        <w:rPr>
          <w:sz w:val="22"/>
          <w:lang w:val="en-ZA"/>
        </w:rPr>
      </w:pPr>
      <w:r>
        <w:rPr>
          <w:sz w:val="22"/>
          <w:lang w:val="en-ZA"/>
        </w:rPr>
        <w:t>Stronger partner organisations</w:t>
      </w:r>
      <w:r w:rsidR="0042167B">
        <w:rPr>
          <w:sz w:val="22"/>
          <w:lang w:val="en-ZA"/>
        </w:rPr>
        <w:t xml:space="preserve"> with better capacities for community level work and better fundraising skills.</w:t>
      </w:r>
    </w:p>
    <w:p w14:paraId="6E094197" w14:textId="7B78066F" w:rsidR="00D53B17" w:rsidRDefault="00D53B17" w:rsidP="00407190">
      <w:pPr>
        <w:pStyle w:val="ListParagraph"/>
        <w:numPr>
          <w:ilvl w:val="0"/>
          <w:numId w:val="9"/>
        </w:numPr>
        <w:spacing w:after="0" w:line="240" w:lineRule="auto"/>
        <w:rPr>
          <w:sz w:val="22"/>
          <w:lang w:val="en-ZA"/>
        </w:rPr>
      </w:pPr>
      <w:r w:rsidRPr="00B72BD5">
        <w:rPr>
          <w:sz w:val="22"/>
          <w:lang w:val="en-ZA"/>
        </w:rPr>
        <w:t xml:space="preserve">Enhanced voice and agency on the part of AGYW </w:t>
      </w:r>
      <w:r>
        <w:rPr>
          <w:sz w:val="22"/>
          <w:lang w:val="en-ZA"/>
        </w:rPr>
        <w:t>and LGBT</w:t>
      </w:r>
      <w:r w:rsidR="00820479">
        <w:rPr>
          <w:sz w:val="22"/>
          <w:lang w:val="en-ZA"/>
        </w:rPr>
        <w:t xml:space="preserve">+ youth and more of them involved in the </w:t>
      </w:r>
      <w:r w:rsidR="00CE0989">
        <w:rPr>
          <w:sz w:val="22"/>
          <w:lang w:val="en-ZA"/>
        </w:rPr>
        <w:t xml:space="preserve">movements and in </w:t>
      </w:r>
      <w:r w:rsidR="003F244A">
        <w:rPr>
          <w:sz w:val="22"/>
          <w:lang w:val="en-ZA"/>
        </w:rPr>
        <w:t>local level advocacy work.</w:t>
      </w:r>
    </w:p>
    <w:p w14:paraId="263B0C40" w14:textId="77777777" w:rsidR="00052A68" w:rsidRPr="00B72BD5" w:rsidRDefault="00052A68" w:rsidP="00052A68">
      <w:pPr>
        <w:pStyle w:val="ListParagraph"/>
        <w:numPr>
          <w:ilvl w:val="0"/>
          <w:numId w:val="9"/>
        </w:numPr>
        <w:spacing w:after="0" w:line="240" w:lineRule="auto"/>
        <w:rPr>
          <w:sz w:val="22"/>
          <w:lang w:val="en-ZA"/>
        </w:rPr>
      </w:pPr>
      <w:r w:rsidRPr="00B72BD5">
        <w:rPr>
          <w:sz w:val="22"/>
          <w:lang w:val="en-ZA"/>
        </w:rPr>
        <w:t xml:space="preserve">Reduced self-stigma and fear on the part of LGBT+ youth. </w:t>
      </w:r>
    </w:p>
    <w:p w14:paraId="469BD15A" w14:textId="4251BF61" w:rsidR="00052A68" w:rsidRDefault="00052A68" w:rsidP="00052A68">
      <w:pPr>
        <w:pStyle w:val="ListParagraph"/>
        <w:numPr>
          <w:ilvl w:val="0"/>
          <w:numId w:val="9"/>
        </w:numPr>
        <w:spacing w:after="0" w:line="240" w:lineRule="auto"/>
        <w:rPr>
          <w:sz w:val="22"/>
          <w:lang w:val="en-ZA"/>
        </w:rPr>
      </w:pPr>
      <w:r w:rsidRPr="00B72BD5">
        <w:rPr>
          <w:sz w:val="22"/>
          <w:lang w:val="en-ZA"/>
        </w:rPr>
        <w:t>Healthier life choices for both LGBT+ youth and AGYW</w:t>
      </w:r>
    </w:p>
    <w:p w14:paraId="4F8CFCFB" w14:textId="55C12730" w:rsidR="00746D9A" w:rsidRPr="00B72BD5" w:rsidRDefault="00746D9A" w:rsidP="00407190">
      <w:pPr>
        <w:pStyle w:val="ListParagraph"/>
        <w:numPr>
          <w:ilvl w:val="0"/>
          <w:numId w:val="9"/>
        </w:numPr>
        <w:spacing w:after="0" w:line="240" w:lineRule="auto"/>
        <w:rPr>
          <w:sz w:val="22"/>
          <w:lang w:val="en-ZA"/>
        </w:rPr>
      </w:pPr>
      <w:r w:rsidRPr="00B72BD5">
        <w:rPr>
          <w:sz w:val="22"/>
          <w:lang w:val="en-ZA"/>
        </w:rPr>
        <w:t>Increased awareness and ownership of the problems facing marginalised and vulnerable youth.</w:t>
      </w:r>
    </w:p>
    <w:p w14:paraId="6ED21B26" w14:textId="77777777" w:rsidR="00746D9A" w:rsidRPr="00B72BD5" w:rsidRDefault="00746D9A" w:rsidP="00407190">
      <w:pPr>
        <w:pStyle w:val="ListParagraph"/>
        <w:numPr>
          <w:ilvl w:val="0"/>
          <w:numId w:val="9"/>
        </w:numPr>
        <w:spacing w:after="0" w:line="240" w:lineRule="auto"/>
        <w:rPr>
          <w:sz w:val="22"/>
          <w:lang w:val="en-ZA"/>
        </w:rPr>
      </w:pPr>
      <w:r w:rsidRPr="00B72BD5">
        <w:rPr>
          <w:sz w:val="22"/>
          <w:lang w:val="en-ZA"/>
        </w:rPr>
        <w:t>Increased rights-literacy, legal-literacy, understanding of gender and gender equity, and of sexual orientation, gender identity and expression (SOGIE) among youth, organised civil society and local duty-bearers.</w:t>
      </w:r>
    </w:p>
    <w:p w14:paraId="0D686536" w14:textId="7CBB4683" w:rsidR="00746D9A" w:rsidRPr="00B72BD5" w:rsidRDefault="00746D9A" w:rsidP="00407190">
      <w:pPr>
        <w:pStyle w:val="ListParagraph"/>
        <w:numPr>
          <w:ilvl w:val="0"/>
          <w:numId w:val="9"/>
        </w:numPr>
        <w:spacing w:after="0" w:line="240" w:lineRule="auto"/>
        <w:rPr>
          <w:sz w:val="22"/>
          <w:lang w:val="en-ZA"/>
        </w:rPr>
      </w:pPr>
      <w:r w:rsidRPr="00B72BD5">
        <w:rPr>
          <w:sz w:val="22"/>
          <w:lang w:val="en-ZA"/>
        </w:rPr>
        <w:t xml:space="preserve">Positive action by civil society, </w:t>
      </w:r>
      <w:proofErr w:type="gramStart"/>
      <w:r w:rsidRPr="00B72BD5">
        <w:rPr>
          <w:sz w:val="22"/>
          <w:lang w:val="en-ZA"/>
        </w:rPr>
        <w:t>citizens</w:t>
      </w:r>
      <w:proofErr w:type="gramEnd"/>
      <w:r w:rsidRPr="00B72BD5">
        <w:rPr>
          <w:sz w:val="22"/>
          <w:lang w:val="en-ZA"/>
        </w:rPr>
        <w:t xml:space="preserve"> and duty-bearers to bring about constructive change.</w:t>
      </w:r>
    </w:p>
    <w:p w14:paraId="78FF8B60" w14:textId="4517E2F2" w:rsidR="00746D9A" w:rsidRPr="00B72BD5" w:rsidRDefault="00746D9A" w:rsidP="00407190">
      <w:pPr>
        <w:pStyle w:val="ListParagraph"/>
        <w:numPr>
          <w:ilvl w:val="0"/>
          <w:numId w:val="9"/>
        </w:numPr>
        <w:spacing w:after="0" w:line="240" w:lineRule="auto"/>
        <w:rPr>
          <w:sz w:val="22"/>
          <w:lang w:val="en-ZA"/>
        </w:rPr>
      </w:pPr>
      <w:r w:rsidRPr="00B72BD5">
        <w:rPr>
          <w:sz w:val="22"/>
          <w:lang w:val="en-ZA"/>
        </w:rPr>
        <w:t xml:space="preserve">Beyond the life of the intervention, resourceful relationships formed </w:t>
      </w:r>
      <w:r w:rsidR="00052A68">
        <w:rPr>
          <w:sz w:val="22"/>
          <w:lang w:val="en-ZA"/>
        </w:rPr>
        <w:t>through the work will</w:t>
      </w:r>
      <w:r w:rsidRPr="00B72BD5">
        <w:rPr>
          <w:sz w:val="22"/>
          <w:lang w:val="en-ZA"/>
        </w:rPr>
        <w:t xml:space="preserve"> continue to be useful for ongoing problem-solving.</w:t>
      </w:r>
    </w:p>
    <w:p w14:paraId="7E92DC01" w14:textId="77777777" w:rsidR="00746D9A" w:rsidRPr="00B72BD5" w:rsidRDefault="00746D9A" w:rsidP="00407190">
      <w:pPr>
        <w:pStyle w:val="ListParagraph"/>
        <w:numPr>
          <w:ilvl w:val="0"/>
          <w:numId w:val="9"/>
        </w:numPr>
        <w:spacing w:after="0" w:line="240" w:lineRule="auto"/>
        <w:rPr>
          <w:sz w:val="22"/>
          <w:lang w:val="en-ZA"/>
        </w:rPr>
      </w:pPr>
      <w:r w:rsidRPr="00B72BD5">
        <w:rPr>
          <w:sz w:val="22"/>
          <w:lang w:val="en-ZA"/>
        </w:rPr>
        <w:t>A reduction in violence against LGBT+ youth and AGYW in schools and communities – and active efforts to address such violence within the school system and the wider community.</w:t>
      </w:r>
    </w:p>
    <w:p w14:paraId="222BE170" w14:textId="77777777" w:rsidR="002267C3" w:rsidRPr="00B72BD5" w:rsidRDefault="002267C3" w:rsidP="002267C3">
      <w:pPr>
        <w:ind w:firstLine="357"/>
        <w:rPr>
          <w:sz w:val="22"/>
          <w:lang w:val="en-ZA"/>
        </w:rPr>
      </w:pPr>
      <w:r w:rsidRPr="00B72BD5">
        <w:rPr>
          <w:sz w:val="22"/>
          <w:lang w:val="en-ZA"/>
        </w:rPr>
        <w:t>More accepting individual attitudes, agency and voice do not vanish over time, but become a ripple effect that continues to spread and develop. The same is true of changed relationships between government structures and the local community and increases in community capacity.</w:t>
      </w:r>
      <w:r w:rsidRPr="00B72BD5">
        <w:rPr>
          <w:sz w:val="22"/>
          <w:vertAlign w:val="superscript"/>
          <w:lang w:val="en-ZA"/>
        </w:rPr>
        <w:footnoteReference w:id="16"/>
      </w:r>
      <w:r w:rsidRPr="00B72BD5">
        <w:rPr>
          <w:sz w:val="22"/>
          <w:lang w:val="en-ZA"/>
        </w:rPr>
        <w:t xml:space="preserve"> The habit of </w:t>
      </w:r>
      <w:r w:rsidRPr="00B72BD5">
        <w:rPr>
          <w:sz w:val="22"/>
          <w:lang w:val="en-ZA"/>
        </w:rPr>
        <w:lastRenderedPageBreak/>
        <w:t>consultation, dialogue and shared problem-solving tends to be self-sustaining after external assistance has stopped.</w:t>
      </w:r>
    </w:p>
    <w:p w14:paraId="1FC7B2BE" w14:textId="77777777" w:rsidR="002267C3" w:rsidRPr="002267C3" w:rsidRDefault="002267C3" w:rsidP="002267C3">
      <w:pPr>
        <w:rPr>
          <w:lang w:val="en-ZA"/>
        </w:rPr>
      </w:pPr>
    </w:p>
    <w:p w14:paraId="4244C23E" w14:textId="11BE9CD3" w:rsidR="00892B7A" w:rsidRPr="00B72BD5" w:rsidRDefault="005C303C" w:rsidP="00D26249">
      <w:pPr>
        <w:pStyle w:val="Heading2"/>
      </w:pPr>
      <w:bookmarkStart w:id="59" w:name="_Toc113951225"/>
      <w:r w:rsidRPr="00CE438B">
        <w:t>Strengthening of the partners</w:t>
      </w:r>
      <w:r w:rsidR="009A23A0" w:rsidRPr="00CE438B">
        <w:t xml:space="preserve">’ capacities after the intervention </w:t>
      </w:r>
      <w:r w:rsidR="00D26249" w:rsidRPr="00CE438B">
        <w:t>period</w:t>
      </w:r>
      <w:bookmarkEnd w:id="59"/>
    </w:p>
    <w:p w14:paraId="6FC73D92" w14:textId="4DF79524" w:rsidR="00892B7A" w:rsidRPr="00B72BD5" w:rsidRDefault="00892B7A" w:rsidP="00D00B1E">
      <w:pPr>
        <w:ind w:firstLine="357"/>
        <w:rPr>
          <w:sz w:val="22"/>
          <w:lang w:val="en-ZA"/>
        </w:rPr>
      </w:pPr>
      <w:bookmarkStart w:id="60" w:name="_Toc34813968"/>
      <w:r w:rsidRPr="00B72BD5">
        <w:rPr>
          <w:sz w:val="22"/>
          <w:u w:val="single"/>
          <w:lang w:val="en-ZA"/>
        </w:rPr>
        <w:t>Avoiding dependency</w:t>
      </w:r>
      <w:bookmarkEnd w:id="60"/>
      <w:r w:rsidR="00D00B1E" w:rsidRPr="00B72BD5">
        <w:rPr>
          <w:sz w:val="22"/>
          <w:u w:val="single"/>
          <w:lang w:val="en-ZA"/>
        </w:rPr>
        <w:t xml:space="preserve">: </w:t>
      </w:r>
      <w:r w:rsidRPr="00B72BD5">
        <w:rPr>
          <w:sz w:val="22"/>
          <w:lang w:val="en-ZA"/>
        </w:rPr>
        <w:t xml:space="preserve">The intervention works through existing or emerging structures at community level and does not fund any organisations or structures – rather, it provides limited activity funding combined with ongoing accompaniment and technical assistance to catalyse change.  In this way, no long-term dependency is created. Instead, the support given will enhance the outcomes of partners’ own efforts and own funding streams. While some activities would be reduced if funding ended, </w:t>
      </w:r>
      <w:r w:rsidR="00246154">
        <w:rPr>
          <w:sz w:val="22"/>
          <w:lang w:val="en-ZA"/>
        </w:rPr>
        <w:t>others</w:t>
      </w:r>
      <w:r w:rsidRPr="00B72BD5">
        <w:rPr>
          <w:sz w:val="22"/>
          <w:lang w:val="en-ZA"/>
        </w:rPr>
        <w:t xml:space="preserve"> should be self-sustaining</w:t>
      </w:r>
      <w:r w:rsidR="00507FEA">
        <w:rPr>
          <w:sz w:val="22"/>
          <w:lang w:val="en-ZA"/>
        </w:rPr>
        <w:t xml:space="preserve"> </w:t>
      </w:r>
      <w:r w:rsidR="00311706">
        <w:rPr>
          <w:sz w:val="22"/>
          <w:lang w:val="en-ZA"/>
        </w:rPr>
        <w:t>at some level</w:t>
      </w:r>
      <w:r w:rsidRPr="00B72BD5">
        <w:rPr>
          <w:sz w:val="22"/>
          <w:lang w:val="en-ZA"/>
        </w:rPr>
        <w:t xml:space="preserve">. </w:t>
      </w:r>
    </w:p>
    <w:p w14:paraId="5E2EE753" w14:textId="3F81EA60" w:rsidR="009649CC" w:rsidRDefault="00892B7A" w:rsidP="009649CC">
      <w:pPr>
        <w:ind w:firstLine="357"/>
        <w:rPr>
          <w:sz w:val="22"/>
          <w:lang w:val="en-ZA"/>
        </w:rPr>
      </w:pPr>
      <w:bookmarkStart w:id="61" w:name="_Toc34813969"/>
      <w:r w:rsidRPr="00B72BD5">
        <w:rPr>
          <w:sz w:val="22"/>
          <w:u w:val="single"/>
          <w:lang w:val="en-ZA"/>
        </w:rPr>
        <w:t>Lasting improvements for target groups</w:t>
      </w:r>
      <w:bookmarkEnd w:id="61"/>
      <w:r w:rsidR="00632760" w:rsidRPr="00B72BD5">
        <w:rPr>
          <w:sz w:val="22"/>
          <w:u w:val="single"/>
          <w:lang w:val="en-ZA"/>
        </w:rPr>
        <w:t xml:space="preserve">: </w:t>
      </w:r>
      <w:r w:rsidRPr="00B72BD5">
        <w:rPr>
          <w:sz w:val="22"/>
          <w:lang w:val="en-ZA"/>
        </w:rPr>
        <w:t xml:space="preserve">The in-depth work at </w:t>
      </w:r>
      <w:r w:rsidR="002B3E2A">
        <w:rPr>
          <w:sz w:val="22"/>
          <w:lang w:val="en-ZA"/>
        </w:rPr>
        <w:t xml:space="preserve">movement and </w:t>
      </w:r>
      <w:r w:rsidRPr="00B72BD5">
        <w:rPr>
          <w:sz w:val="22"/>
          <w:lang w:val="en-ZA"/>
        </w:rPr>
        <w:t xml:space="preserve">community level will lead directly to lasting improvements for the target groups in these communities. </w:t>
      </w:r>
      <w:bookmarkStart w:id="62" w:name="_Toc34813970"/>
    </w:p>
    <w:p w14:paraId="234E66A7" w14:textId="77777777" w:rsidR="009649CC" w:rsidRDefault="00892B7A" w:rsidP="009649CC">
      <w:pPr>
        <w:ind w:firstLine="357"/>
        <w:rPr>
          <w:sz w:val="22"/>
          <w:szCs w:val="22"/>
          <w:u w:val="single"/>
          <w:lang w:val="en-ZA"/>
        </w:rPr>
      </w:pPr>
      <w:r w:rsidRPr="00B72BD5">
        <w:rPr>
          <w:sz w:val="22"/>
          <w:szCs w:val="22"/>
          <w:u w:val="single"/>
          <w:lang w:val="en-ZA"/>
        </w:rPr>
        <w:t>Sustaining partners’ and other actors’ capacity beyond implementation</w:t>
      </w:r>
      <w:bookmarkEnd w:id="62"/>
      <w:r w:rsidR="00632760" w:rsidRPr="00B72BD5">
        <w:rPr>
          <w:sz w:val="22"/>
          <w:szCs w:val="22"/>
          <w:u w:val="single"/>
          <w:lang w:val="en-ZA"/>
        </w:rPr>
        <w:t xml:space="preserve">: </w:t>
      </w:r>
    </w:p>
    <w:p w14:paraId="1DF5FBBF" w14:textId="347C10CA" w:rsidR="00C21FAD" w:rsidRDefault="00C21FAD" w:rsidP="009649CC">
      <w:pPr>
        <w:ind w:firstLine="357"/>
        <w:rPr>
          <w:sz w:val="22"/>
          <w:lang w:val="en-ZA"/>
        </w:rPr>
      </w:pPr>
      <w:r>
        <w:rPr>
          <w:sz w:val="22"/>
          <w:lang w:val="en-ZA"/>
        </w:rPr>
        <w:t xml:space="preserve">At the level of the </w:t>
      </w:r>
      <w:r w:rsidR="00DC0254">
        <w:rPr>
          <w:sz w:val="22"/>
          <w:lang w:val="en-ZA"/>
        </w:rPr>
        <w:t>5</w:t>
      </w:r>
      <w:r>
        <w:rPr>
          <w:sz w:val="22"/>
          <w:lang w:val="en-ZA"/>
        </w:rPr>
        <w:t xml:space="preserve"> participating </w:t>
      </w:r>
      <w:r w:rsidR="006620A2">
        <w:rPr>
          <w:sz w:val="22"/>
          <w:lang w:val="en-ZA"/>
        </w:rPr>
        <w:t xml:space="preserve">local </w:t>
      </w:r>
      <w:r>
        <w:rPr>
          <w:sz w:val="22"/>
          <w:lang w:val="en-ZA"/>
        </w:rPr>
        <w:t>partners capacity will be built in terms of community engagement</w:t>
      </w:r>
      <w:r w:rsidR="00DC0254">
        <w:rPr>
          <w:sz w:val="22"/>
          <w:lang w:val="en-ZA"/>
        </w:rPr>
        <w:t xml:space="preserve"> and monitoring</w:t>
      </w:r>
      <w:r>
        <w:rPr>
          <w:sz w:val="22"/>
          <w:lang w:val="en-ZA"/>
        </w:rPr>
        <w:t xml:space="preserve"> work, advocacy and media work and resource mobilisation capacity.  </w:t>
      </w:r>
    </w:p>
    <w:p w14:paraId="00C77F2B" w14:textId="26C57352" w:rsidR="00C21FAD" w:rsidRPr="00B72BD5" w:rsidRDefault="00C21FAD" w:rsidP="00C21FAD">
      <w:pPr>
        <w:ind w:firstLine="357"/>
        <w:rPr>
          <w:sz w:val="22"/>
          <w:lang w:val="en-ZA"/>
        </w:rPr>
      </w:pPr>
      <w:r>
        <w:rPr>
          <w:sz w:val="22"/>
          <w:lang w:val="en-ZA"/>
        </w:rPr>
        <w:t>At the level of PV t</w:t>
      </w:r>
      <w:r w:rsidRPr="00AF7C83">
        <w:rPr>
          <w:sz w:val="22"/>
          <w:lang w:val="en-ZA"/>
        </w:rPr>
        <w:t xml:space="preserve">his project is the </w:t>
      </w:r>
      <w:r>
        <w:rPr>
          <w:sz w:val="22"/>
          <w:lang w:val="en-ZA"/>
        </w:rPr>
        <w:t>second</w:t>
      </w:r>
      <w:r w:rsidRPr="00AF7C83">
        <w:rPr>
          <w:sz w:val="22"/>
          <w:lang w:val="en-ZA"/>
        </w:rPr>
        <w:t xml:space="preserve"> intervention deliberately positioned within the new PV AYP strategy. It will</w:t>
      </w:r>
      <w:r>
        <w:rPr>
          <w:sz w:val="22"/>
          <w:lang w:val="en-ZA"/>
        </w:rPr>
        <w:t xml:space="preserve"> contribute to creating a proof of concept of the approach as well as </w:t>
      </w:r>
      <w:r w:rsidR="004575DC">
        <w:rPr>
          <w:sz w:val="22"/>
          <w:lang w:val="en-ZA"/>
        </w:rPr>
        <w:t>a wide range of experiences</w:t>
      </w:r>
      <w:r w:rsidR="004C16A3">
        <w:rPr>
          <w:sz w:val="22"/>
          <w:lang w:val="en-ZA"/>
        </w:rPr>
        <w:t xml:space="preserve"> at the local level</w:t>
      </w:r>
      <w:r>
        <w:rPr>
          <w:sz w:val="22"/>
          <w:lang w:val="en-ZA"/>
        </w:rPr>
        <w:t xml:space="preserve">, </w:t>
      </w:r>
      <w:r w:rsidRPr="00AF7C83">
        <w:rPr>
          <w:sz w:val="22"/>
          <w:lang w:val="en-ZA"/>
        </w:rPr>
        <w:t>which</w:t>
      </w:r>
      <w:r>
        <w:rPr>
          <w:sz w:val="22"/>
          <w:lang w:val="en-ZA"/>
        </w:rPr>
        <w:t xml:space="preserve"> is a foundation</w:t>
      </w:r>
      <w:r w:rsidRPr="00AF7C83">
        <w:rPr>
          <w:sz w:val="22"/>
          <w:lang w:val="en-ZA"/>
        </w:rPr>
        <w:t xml:space="preserve"> to leverage additional funds to broaden and extend the implementation of the larger AYP strategy. </w:t>
      </w:r>
    </w:p>
    <w:p w14:paraId="6E63B813" w14:textId="77777777" w:rsidR="00673AF0" w:rsidRPr="00B72BD5" w:rsidRDefault="00673AF0" w:rsidP="00334B32">
      <w:pPr>
        <w:pStyle w:val="Heading2"/>
      </w:pPr>
      <w:bookmarkStart w:id="63" w:name="_Toc34813964"/>
    </w:p>
    <w:p w14:paraId="60CBDD19" w14:textId="57E45A29" w:rsidR="00EE2DB8" w:rsidRPr="00B72BD5" w:rsidRDefault="00EE2DB8" w:rsidP="003C5C2B">
      <w:pPr>
        <w:pStyle w:val="Heading2"/>
      </w:pPr>
      <w:bookmarkStart w:id="64" w:name="_Toc113951226"/>
      <w:r w:rsidRPr="00795050">
        <w:t>Risks and risk mitigation</w:t>
      </w:r>
      <w:bookmarkEnd w:id="63"/>
      <w:bookmarkEnd w:id="64"/>
    </w:p>
    <w:p w14:paraId="3B5366ED" w14:textId="591129DB" w:rsidR="007202B0" w:rsidRPr="00B72BD5" w:rsidRDefault="007202B0" w:rsidP="003C5C2B">
      <w:pPr>
        <w:rPr>
          <w:i/>
          <w:iCs/>
          <w:noProof/>
          <w:sz w:val="22"/>
          <w:lang w:val="en-ZA"/>
        </w:rPr>
      </w:pPr>
      <w:r w:rsidRPr="00B72BD5">
        <w:rPr>
          <w:i/>
          <w:iCs/>
          <w:noProof/>
          <w:sz w:val="22"/>
          <w:lang w:val="en-ZA"/>
        </w:rPr>
        <w:t>Internal Risks</w:t>
      </w:r>
    </w:p>
    <w:p w14:paraId="5FEB364C" w14:textId="315D39FE" w:rsidR="006124EA" w:rsidRDefault="00EE2DB8" w:rsidP="00407190">
      <w:pPr>
        <w:pStyle w:val="ListParagraph"/>
        <w:numPr>
          <w:ilvl w:val="0"/>
          <w:numId w:val="4"/>
        </w:numPr>
        <w:spacing w:line="240" w:lineRule="auto"/>
        <w:rPr>
          <w:noProof/>
          <w:sz w:val="22"/>
          <w:lang w:val="en-ZA"/>
        </w:rPr>
      </w:pPr>
      <w:r w:rsidRPr="00B72BD5">
        <w:rPr>
          <w:sz w:val="22"/>
          <w:lang w:val="en-ZA"/>
        </w:rPr>
        <w:t>PV works main</w:t>
      </w:r>
      <w:r w:rsidR="00DA4221" w:rsidRPr="00B72BD5">
        <w:rPr>
          <w:sz w:val="22"/>
          <w:lang w:val="en-ZA"/>
        </w:rPr>
        <w:t>l</w:t>
      </w:r>
      <w:r w:rsidRPr="00B72BD5">
        <w:rPr>
          <w:sz w:val="22"/>
          <w:lang w:val="en-ZA"/>
        </w:rPr>
        <w:t xml:space="preserve">y with emerging organisations, some of which do not have strong financial and M&amp;E mechanisms. Therefore, unallowable expenditure and lack of spending justification are key risks. However, PVs </w:t>
      </w:r>
      <w:r w:rsidRPr="00B72BD5">
        <w:rPr>
          <w:noProof/>
          <w:sz w:val="22"/>
          <w:lang w:val="en-ZA"/>
        </w:rPr>
        <w:t xml:space="preserve">work with emerging organisations and movements in Namibia (PLHIV and LGBT+) within a range of projects in recent years, as well as similar work with LGBT+ Denmark in East Africa, has given the organisation wide experiences of </w:t>
      </w:r>
      <w:r w:rsidRPr="00B72BD5">
        <w:rPr>
          <w:i/>
          <w:iCs/>
          <w:noProof/>
          <w:sz w:val="22"/>
          <w:lang w:val="en-ZA"/>
        </w:rPr>
        <w:t>the most effective ways of supporting these kinds of organisations.</w:t>
      </w:r>
      <w:r w:rsidRPr="00B72BD5">
        <w:rPr>
          <w:noProof/>
          <w:sz w:val="22"/>
          <w:lang w:val="en-ZA"/>
        </w:rPr>
        <w:t xml:space="preserve"> Financial support will be activity-based, simple to manage and report on, and</w:t>
      </w:r>
      <w:r w:rsidR="0042699D">
        <w:rPr>
          <w:noProof/>
          <w:sz w:val="22"/>
          <w:lang w:val="en-ZA"/>
        </w:rPr>
        <w:t xml:space="preserve"> generally q</w:t>
      </w:r>
      <w:r w:rsidR="00413917">
        <w:rPr>
          <w:noProof/>
          <w:sz w:val="22"/>
          <w:lang w:val="en-ZA"/>
        </w:rPr>
        <w:t xml:space="preserve">uite </w:t>
      </w:r>
      <w:r w:rsidRPr="00B72BD5">
        <w:rPr>
          <w:noProof/>
          <w:sz w:val="22"/>
          <w:lang w:val="en-ZA"/>
        </w:rPr>
        <w:t>small in size, combined with close accompaniment. It will allow flexible responses and support to local initiatives aligned to intervention objectives, without placing large administrattive burdens on small organisations.</w:t>
      </w:r>
    </w:p>
    <w:p w14:paraId="03FBEA9E" w14:textId="0B9F955E" w:rsidR="007202B0" w:rsidRPr="00B72BD5" w:rsidRDefault="00EE2DB8" w:rsidP="00D65F99">
      <w:pPr>
        <w:rPr>
          <w:noProof/>
          <w:sz w:val="22"/>
          <w:lang w:val="en-ZA"/>
        </w:rPr>
      </w:pPr>
      <w:r w:rsidRPr="00B72BD5">
        <w:rPr>
          <w:i/>
          <w:iCs/>
          <w:sz w:val="22"/>
          <w:lang w:val="en-ZA"/>
        </w:rPr>
        <w:t>External Risk</w:t>
      </w:r>
      <w:r w:rsidR="00891493" w:rsidRPr="00B72BD5">
        <w:rPr>
          <w:i/>
          <w:iCs/>
          <w:sz w:val="22"/>
          <w:lang w:val="en-ZA"/>
        </w:rPr>
        <w:t>s</w:t>
      </w:r>
      <w:r w:rsidRPr="00B72BD5">
        <w:rPr>
          <w:i/>
          <w:iCs/>
          <w:noProof/>
          <w:sz w:val="22"/>
          <w:lang w:val="en-ZA"/>
        </w:rPr>
        <w:t xml:space="preserve">: </w:t>
      </w:r>
    </w:p>
    <w:p w14:paraId="73B0346D" w14:textId="0755C44A" w:rsidR="00EE2DB8" w:rsidRPr="000C179D" w:rsidRDefault="00EE2DB8" w:rsidP="00407190">
      <w:pPr>
        <w:pStyle w:val="ListParagraph"/>
        <w:numPr>
          <w:ilvl w:val="0"/>
          <w:numId w:val="4"/>
        </w:numPr>
        <w:spacing w:line="240" w:lineRule="auto"/>
        <w:rPr>
          <w:noProof/>
          <w:sz w:val="22"/>
          <w:lang w:val="en-ZA"/>
        </w:rPr>
      </w:pPr>
      <w:r w:rsidRPr="00B72BD5">
        <w:rPr>
          <w:noProof/>
          <w:sz w:val="22"/>
          <w:lang w:val="en-ZA"/>
        </w:rPr>
        <w:t>Namibia is currenly facing</w:t>
      </w:r>
      <w:r w:rsidR="00D76217">
        <w:rPr>
          <w:noProof/>
          <w:sz w:val="22"/>
          <w:lang w:val="en-ZA"/>
        </w:rPr>
        <w:t xml:space="preserve"> a</w:t>
      </w:r>
      <w:r w:rsidRPr="00B72BD5">
        <w:rPr>
          <w:noProof/>
          <w:sz w:val="22"/>
          <w:lang w:val="en-ZA"/>
        </w:rPr>
        <w:t xml:space="preserve"> recession, and further economic decline should </w:t>
      </w:r>
      <w:r w:rsidR="00EF415A">
        <w:rPr>
          <w:noProof/>
          <w:sz w:val="22"/>
          <w:lang w:val="en-ZA"/>
        </w:rPr>
        <w:t xml:space="preserve">potentially </w:t>
      </w:r>
      <w:r w:rsidRPr="00B72BD5">
        <w:rPr>
          <w:noProof/>
          <w:sz w:val="22"/>
          <w:lang w:val="en-ZA"/>
        </w:rPr>
        <w:t xml:space="preserve">be anticipated. Our intervention model is rooted in community, and driven by community action, a more sustainable model </w:t>
      </w:r>
      <w:r w:rsidRPr="000C179D">
        <w:rPr>
          <w:noProof/>
          <w:sz w:val="22"/>
          <w:lang w:val="en-ZA"/>
        </w:rPr>
        <w:t>of change and less affected by economic downturns than other approaches.</w:t>
      </w:r>
    </w:p>
    <w:p w14:paraId="3AADCDEB" w14:textId="26CB4962" w:rsidR="000C179D" w:rsidRPr="000C179D" w:rsidRDefault="00EE2DB8" w:rsidP="00407190">
      <w:pPr>
        <w:pStyle w:val="ListParagraph"/>
        <w:numPr>
          <w:ilvl w:val="0"/>
          <w:numId w:val="4"/>
        </w:numPr>
        <w:spacing w:line="240" w:lineRule="auto"/>
        <w:rPr>
          <w:noProof/>
          <w:sz w:val="22"/>
          <w:lang w:val="en-ZA"/>
        </w:rPr>
      </w:pPr>
      <w:r w:rsidRPr="000C179D">
        <w:rPr>
          <w:noProof/>
          <w:sz w:val="22"/>
          <w:lang w:val="en-ZA"/>
        </w:rPr>
        <w:t>Backlash from parents, caregivers, religious and traditional fundamentalists is a concern. PV</w:t>
      </w:r>
      <w:r w:rsidR="00D76217">
        <w:rPr>
          <w:noProof/>
          <w:sz w:val="22"/>
          <w:lang w:val="en-ZA"/>
        </w:rPr>
        <w:t xml:space="preserve"> and partners</w:t>
      </w:r>
      <w:r w:rsidRPr="000C179D">
        <w:rPr>
          <w:noProof/>
          <w:sz w:val="22"/>
          <w:lang w:val="en-ZA"/>
        </w:rPr>
        <w:t xml:space="preserve"> aims to address this through </w:t>
      </w:r>
      <w:r w:rsidR="00631880">
        <w:rPr>
          <w:noProof/>
          <w:sz w:val="22"/>
          <w:lang w:val="en-ZA"/>
        </w:rPr>
        <w:t>working with local community leaders and duty bearers</w:t>
      </w:r>
      <w:r w:rsidRPr="000C179D">
        <w:rPr>
          <w:noProof/>
          <w:sz w:val="22"/>
          <w:lang w:val="en-ZA"/>
        </w:rPr>
        <w:t xml:space="preserve">, and by prioritising activities focused on inclusion. </w:t>
      </w:r>
    </w:p>
    <w:p w14:paraId="001089C6" w14:textId="77777777" w:rsidR="000C179D" w:rsidRPr="000C179D" w:rsidRDefault="000C179D" w:rsidP="00407190">
      <w:pPr>
        <w:pStyle w:val="ListParagraph"/>
        <w:numPr>
          <w:ilvl w:val="0"/>
          <w:numId w:val="4"/>
        </w:numPr>
        <w:spacing w:line="240" w:lineRule="auto"/>
        <w:rPr>
          <w:noProof/>
          <w:sz w:val="22"/>
          <w:lang w:val="en-ZA"/>
        </w:rPr>
      </w:pPr>
      <w:r w:rsidRPr="000C179D">
        <w:rPr>
          <w:noProof/>
          <w:sz w:val="22"/>
          <w:lang w:val="en-ZA"/>
        </w:rPr>
        <w:t xml:space="preserve">Change in relation to LGBT+ acceptance is relatively slow in Namibia, given the conservative religious and traditional background. It is for this reason that PV will initially be working in communities with which we have established relationships, where some work has been done around inclusivity and tolerance towards marginalised groups, and where exitsing shifts can be amplified by this intervention. </w:t>
      </w:r>
    </w:p>
    <w:p w14:paraId="4808D2A8" w14:textId="4A819C88" w:rsidR="000C179D" w:rsidRPr="000C179D" w:rsidRDefault="000C179D" w:rsidP="00407190">
      <w:pPr>
        <w:pStyle w:val="ListParagraph"/>
        <w:numPr>
          <w:ilvl w:val="0"/>
          <w:numId w:val="4"/>
        </w:numPr>
        <w:spacing w:line="240" w:lineRule="auto"/>
        <w:rPr>
          <w:noProof/>
          <w:sz w:val="22"/>
          <w:lang w:val="en-ZA"/>
        </w:rPr>
      </w:pPr>
      <w:r w:rsidRPr="000C179D">
        <w:rPr>
          <w:noProof/>
          <w:sz w:val="22"/>
          <w:lang w:val="en-ZA"/>
        </w:rPr>
        <w:t>COVID-19 has ha</w:t>
      </w:r>
      <w:r>
        <w:rPr>
          <w:noProof/>
          <w:sz w:val="22"/>
          <w:lang w:val="en-ZA"/>
        </w:rPr>
        <w:t>d a</w:t>
      </w:r>
      <w:r w:rsidRPr="000C179D">
        <w:rPr>
          <w:noProof/>
          <w:sz w:val="22"/>
          <w:lang w:val="en-ZA"/>
        </w:rPr>
        <w:t xml:space="preserve"> great</w:t>
      </w:r>
      <w:r w:rsidRPr="00811F22">
        <w:rPr>
          <w:noProof/>
          <w:sz w:val="22"/>
          <w:lang w:val="en-ZA"/>
        </w:rPr>
        <w:t xml:space="preserve"> impact on both programming, resource mobilisation, the mobility of</w:t>
      </w:r>
    </w:p>
    <w:p w14:paraId="5E15E1DA" w14:textId="659A583B" w:rsidR="000B0F81" w:rsidRPr="00451E3B" w:rsidRDefault="00C8701E" w:rsidP="00EA0503">
      <w:pPr>
        <w:pStyle w:val="ListParagraph"/>
        <w:spacing w:line="240" w:lineRule="auto"/>
        <w:ind w:left="360"/>
        <w:rPr>
          <w:noProof/>
          <w:sz w:val="22"/>
          <w:lang w:val="en-ZA"/>
        </w:rPr>
      </w:pPr>
      <w:r w:rsidRPr="00811F22">
        <w:rPr>
          <w:noProof/>
          <w:sz w:val="22"/>
          <w:lang w:val="en-ZA"/>
        </w:rPr>
        <w:t xml:space="preserve">community members, apart from the significant loss to life, work and livelihood. </w:t>
      </w:r>
      <w:r w:rsidR="000C179D">
        <w:rPr>
          <w:noProof/>
          <w:sz w:val="22"/>
          <w:lang w:val="en-ZA"/>
        </w:rPr>
        <w:t xml:space="preserve">To mitigate this PV will </w:t>
      </w:r>
      <w:r w:rsidR="00D02174">
        <w:rPr>
          <w:noProof/>
          <w:sz w:val="22"/>
          <w:lang w:val="en-ZA"/>
        </w:rPr>
        <w:t xml:space="preserve">within and outside this project </w:t>
      </w:r>
      <w:r w:rsidR="000C179D">
        <w:rPr>
          <w:noProof/>
          <w:sz w:val="22"/>
          <w:lang w:val="en-ZA"/>
        </w:rPr>
        <w:t>continue its work started in 2020-21 of</w:t>
      </w:r>
      <w:r w:rsidRPr="00811F22">
        <w:rPr>
          <w:noProof/>
          <w:sz w:val="22"/>
          <w:lang w:val="en-ZA"/>
        </w:rPr>
        <w:t xml:space="preserve"> reach</w:t>
      </w:r>
      <w:r w:rsidR="000C179D">
        <w:rPr>
          <w:noProof/>
          <w:sz w:val="22"/>
          <w:lang w:val="en-ZA"/>
        </w:rPr>
        <w:t>ing</w:t>
      </w:r>
      <w:r w:rsidRPr="00811F22">
        <w:rPr>
          <w:noProof/>
          <w:sz w:val="22"/>
          <w:lang w:val="en-ZA"/>
        </w:rPr>
        <w:t xml:space="preserve"> commmunities for COVID-19 support through care packages, documentation of violations, PPE, support to data for online sessions</w:t>
      </w:r>
      <w:r w:rsidR="000C179D">
        <w:rPr>
          <w:noProof/>
          <w:sz w:val="22"/>
          <w:lang w:val="en-ZA"/>
        </w:rPr>
        <w:t>. PV has also re</w:t>
      </w:r>
      <w:r w:rsidRPr="00811F22">
        <w:rPr>
          <w:noProof/>
          <w:sz w:val="22"/>
          <w:lang w:val="en-ZA"/>
        </w:rPr>
        <w:t xml:space="preserve">structed many of </w:t>
      </w:r>
      <w:r w:rsidR="000C179D">
        <w:rPr>
          <w:noProof/>
          <w:sz w:val="22"/>
          <w:lang w:val="en-ZA"/>
        </w:rPr>
        <w:t xml:space="preserve">its </w:t>
      </w:r>
      <w:r w:rsidRPr="00811F22">
        <w:rPr>
          <w:noProof/>
          <w:sz w:val="22"/>
          <w:lang w:val="en-ZA"/>
        </w:rPr>
        <w:t xml:space="preserve"> interacctions to be engaged with both vi</w:t>
      </w:r>
      <w:r w:rsidR="00E2254D">
        <w:rPr>
          <w:noProof/>
          <w:sz w:val="22"/>
          <w:lang w:val="en-ZA"/>
        </w:rPr>
        <w:t>rt</w:t>
      </w:r>
      <w:r w:rsidRPr="00811F22">
        <w:rPr>
          <w:noProof/>
          <w:sz w:val="22"/>
          <w:lang w:val="en-ZA"/>
        </w:rPr>
        <w:t>ually and face to face. Specific support was rendered via LGBT</w:t>
      </w:r>
      <w:r w:rsidR="00E2254D">
        <w:rPr>
          <w:noProof/>
          <w:sz w:val="22"/>
          <w:lang w:val="en-ZA"/>
        </w:rPr>
        <w:t>+</w:t>
      </w:r>
      <w:r w:rsidRPr="00811F22">
        <w:rPr>
          <w:noProof/>
          <w:sz w:val="22"/>
          <w:lang w:val="en-ZA"/>
        </w:rPr>
        <w:t xml:space="preserve"> </w:t>
      </w:r>
      <w:r w:rsidR="005B683B" w:rsidRPr="00811F22">
        <w:rPr>
          <w:noProof/>
          <w:sz w:val="22"/>
          <w:lang w:val="en-ZA"/>
        </w:rPr>
        <w:t>organ</w:t>
      </w:r>
      <w:r w:rsidR="005B683B">
        <w:rPr>
          <w:noProof/>
          <w:sz w:val="22"/>
          <w:lang w:val="en-ZA"/>
        </w:rPr>
        <w:t>is</w:t>
      </w:r>
      <w:r w:rsidR="005B683B" w:rsidRPr="00811F22">
        <w:rPr>
          <w:noProof/>
          <w:sz w:val="22"/>
          <w:lang w:val="en-ZA"/>
        </w:rPr>
        <w:t xml:space="preserve">ations </w:t>
      </w:r>
      <w:r w:rsidRPr="00811F22">
        <w:rPr>
          <w:noProof/>
          <w:sz w:val="22"/>
          <w:lang w:val="en-ZA"/>
        </w:rPr>
        <w:t xml:space="preserve">in the regions. PV also worked with </w:t>
      </w:r>
      <w:r w:rsidRPr="00811F22">
        <w:rPr>
          <w:noProof/>
          <w:sz w:val="22"/>
          <w:lang w:val="en-ZA"/>
        </w:rPr>
        <w:lastRenderedPageBreak/>
        <w:t xml:space="preserve">LifeLine/ChildLine to build </w:t>
      </w:r>
      <w:r w:rsidR="00251904">
        <w:rPr>
          <w:noProof/>
          <w:sz w:val="22"/>
          <w:lang w:val="en-ZA"/>
        </w:rPr>
        <w:t xml:space="preserve">a </w:t>
      </w:r>
      <w:r w:rsidRPr="00811F22">
        <w:rPr>
          <w:noProof/>
          <w:sz w:val="22"/>
          <w:lang w:val="en-ZA"/>
        </w:rPr>
        <w:t xml:space="preserve">pool of community counsellors to provide psychoscial support int he communities. </w:t>
      </w:r>
    </w:p>
    <w:p w14:paraId="602F7056" w14:textId="44B61125" w:rsidR="00D667CA" w:rsidRPr="00B72BD5" w:rsidRDefault="00CC7D8B" w:rsidP="00D65F99">
      <w:pPr>
        <w:pStyle w:val="ListParagraph"/>
        <w:spacing w:line="240" w:lineRule="auto"/>
        <w:ind w:left="357" w:firstLine="357"/>
        <w:rPr>
          <w:noProof/>
          <w:sz w:val="22"/>
          <w:lang w:val="en-ZA"/>
        </w:rPr>
      </w:pPr>
      <w:r w:rsidRPr="00451E3B">
        <w:rPr>
          <w:noProof/>
          <w:sz w:val="22"/>
          <w:lang w:val="en-ZA"/>
        </w:rPr>
        <w:t>During the 20</w:t>
      </w:r>
      <w:r w:rsidR="00251904">
        <w:rPr>
          <w:noProof/>
          <w:sz w:val="22"/>
          <w:lang w:val="en-ZA"/>
        </w:rPr>
        <w:t>20-</w:t>
      </w:r>
      <w:r w:rsidRPr="00451E3B">
        <w:rPr>
          <w:noProof/>
          <w:sz w:val="22"/>
          <w:lang w:val="en-ZA"/>
        </w:rPr>
        <w:t>21 work in Keetmanshoop, Walvis Bay and other regions in Namibia, it became clear that COVID-19 exacerbated the stressors faced by mino</w:t>
      </w:r>
      <w:r w:rsidR="00C77651">
        <w:rPr>
          <w:noProof/>
          <w:sz w:val="22"/>
          <w:lang w:val="en-ZA"/>
        </w:rPr>
        <w:t>r</w:t>
      </w:r>
      <w:r w:rsidRPr="00451E3B">
        <w:rPr>
          <w:noProof/>
          <w:sz w:val="22"/>
          <w:lang w:val="en-ZA"/>
        </w:rPr>
        <w:t xml:space="preserve">ity groups: </w:t>
      </w:r>
      <w:r w:rsidR="0027457F" w:rsidRPr="00451E3B">
        <w:rPr>
          <w:noProof/>
          <w:sz w:val="22"/>
          <w:lang w:val="en-ZA"/>
        </w:rPr>
        <w:t>rising levels of police intimindation and brutality against those community members cleared as essential workers</w:t>
      </w:r>
      <w:r w:rsidR="0055113C">
        <w:rPr>
          <w:noProof/>
          <w:sz w:val="22"/>
          <w:lang w:val="en-ZA"/>
        </w:rPr>
        <w:t xml:space="preserve"> and received travel permits form the MoHSS</w:t>
      </w:r>
      <w:r w:rsidR="0027457F" w:rsidRPr="00451E3B">
        <w:rPr>
          <w:noProof/>
          <w:sz w:val="22"/>
          <w:lang w:val="en-ZA"/>
        </w:rPr>
        <w:t>, a</w:t>
      </w:r>
      <w:r w:rsidR="0024433F">
        <w:rPr>
          <w:noProof/>
          <w:sz w:val="22"/>
          <w:lang w:val="en-ZA"/>
        </w:rPr>
        <w:t>n</w:t>
      </w:r>
      <w:r w:rsidR="0027457F" w:rsidRPr="00451E3B">
        <w:rPr>
          <w:noProof/>
          <w:sz w:val="22"/>
          <w:lang w:val="en-ZA"/>
        </w:rPr>
        <w:t xml:space="preserve"> increasing economic burden on already financially constrained community members,</w:t>
      </w:r>
      <w:r w:rsidRPr="00451E3B">
        <w:rPr>
          <w:noProof/>
          <w:sz w:val="22"/>
          <w:lang w:val="en-ZA"/>
        </w:rPr>
        <w:t xml:space="preserve"> frequent incidences of GBV,</w:t>
      </w:r>
      <w:r w:rsidR="0027457F" w:rsidRPr="00451E3B">
        <w:rPr>
          <w:noProof/>
          <w:sz w:val="22"/>
          <w:lang w:val="en-ZA"/>
        </w:rPr>
        <w:t xml:space="preserve"> limited access to public health and Justice sy</w:t>
      </w:r>
      <w:r w:rsidR="00782615" w:rsidRPr="00451E3B">
        <w:rPr>
          <w:noProof/>
          <w:sz w:val="22"/>
          <w:lang w:val="en-ZA"/>
        </w:rPr>
        <w:t>s</w:t>
      </w:r>
      <w:r w:rsidR="0027457F" w:rsidRPr="00451E3B">
        <w:rPr>
          <w:noProof/>
          <w:sz w:val="22"/>
          <w:lang w:val="en-ZA"/>
        </w:rPr>
        <w:t xml:space="preserve">tems and the active discrimination of LGBT+ and SW communities for the rise in COVID-19 cases. Now more than ever, this specific </w:t>
      </w:r>
      <w:r w:rsidR="000B0F81" w:rsidRPr="00451E3B">
        <w:rPr>
          <w:noProof/>
          <w:sz w:val="22"/>
          <w:lang w:val="en-ZA"/>
        </w:rPr>
        <w:t xml:space="preserve">site </w:t>
      </w:r>
      <w:r w:rsidR="0027457F" w:rsidRPr="00451E3B">
        <w:rPr>
          <w:noProof/>
          <w:sz w:val="22"/>
          <w:lang w:val="en-ZA"/>
        </w:rPr>
        <w:t>needs commnuity level intervention</w:t>
      </w:r>
      <w:r w:rsidR="000B0F81" w:rsidRPr="00451E3B">
        <w:rPr>
          <w:noProof/>
          <w:sz w:val="22"/>
          <w:lang w:val="en-ZA"/>
        </w:rPr>
        <w:t>, that focuses on safety, inclusion and acceptance of AYP.</w:t>
      </w:r>
      <w:r w:rsidR="000B0F81" w:rsidRPr="00B72BD5">
        <w:rPr>
          <w:noProof/>
          <w:sz w:val="22"/>
          <w:lang w:val="en-ZA"/>
        </w:rPr>
        <w:t xml:space="preserve"> </w:t>
      </w:r>
    </w:p>
    <w:p w14:paraId="42985F8A" w14:textId="0CD36515" w:rsidR="00793DD7" w:rsidRPr="00B32A24" w:rsidRDefault="00793DD7" w:rsidP="000D4460">
      <w:pPr>
        <w:pStyle w:val="Heading2"/>
      </w:pPr>
      <w:bookmarkStart w:id="65" w:name="_Toc34813966"/>
      <w:bookmarkStart w:id="66" w:name="_Toc113951227"/>
      <w:r w:rsidRPr="00B32A24">
        <w:t>Learning, steering, monitoring and evaluation</w:t>
      </w:r>
      <w:bookmarkEnd w:id="65"/>
      <w:bookmarkEnd w:id="66"/>
    </w:p>
    <w:p w14:paraId="7F79E6FC" w14:textId="70B5A7E5" w:rsidR="00B53799" w:rsidRPr="00E93F19" w:rsidRDefault="00B53799" w:rsidP="00B53799">
      <w:pPr>
        <w:rPr>
          <w:bCs/>
          <w:sz w:val="22"/>
          <w:lang w:val="en-ZA"/>
        </w:rPr>
      </w:pPr>
      <w:r w:rsidRPr="00E93F19">
        <w:rPr>
          <w:b/>
          <w:sz w:val="22"/>
          <w:lang w:val="en-ZA"/>
        </w:rPr>
        <w:t xml:space="preserve">Overall: </w:t>
      </w:r>
      <w:r w:rsidRPr="00E93F19">
        <w:rPr>
          <w:bCs/>
          <w:sz w:val="22"/>
          <w:lang w:val="en-ZA"/>
        </w:rPr>
        <w:t xml:space="preserve">Monitoring and Evaluation activities for this project will seek to not only track progress and document a focused set of expected </w:t>
      </w:r>
      <w:proofErr w:type="gramStart"/>
      <w:r w:rsidR="00B2024A" w:rsidRPr="00E93F19">
        <w:rPr>
          <w:bCs/>
          <w:sz w:val="22"/>
          <w:lang w:val="en-ZA"/>
        </w:rPr>
        <w:t xml:space="preserve">outcomes, </w:t>
      </w:r>
      <w:r w:rsidR="00B2024A">
        <w:rPr>
          <w:bCs/>
          <w:sz w:val="22"/>
          <w:lang w:val="en-ZA"/>
        </w:rPr>
        <w:t>but</w:t>
      </w:r>
      <w:proofErr w:type="gramEnd"/>
      <w:r w:rsidRPr="00E93F19">
        <w:rPr>
          <w:bCs/>
          <w:sz w:val="22"/>
          <w:lang w:val="en-ZA"/>
        </w:rPr>
        <w:t xml:space="preserve"> will also provide valuable feedback about successes and challenges to implementers throughout the project cycle, describe mechanisms of change and capture unforeseen outcomes. As such, they will mostly be grouped around </w:t>
      </w:r>
      <w:r w:rsidR="005F294A">
        <w:rPr>
          <w:bCs/>
          <w:sz w:val="22"/>
          <w:lang w:val="en-ZA"/>
        </w:rPr>
        <w:t xml:space="preserve">the Immediate Objective and the </w:t>
      </w:r>
      <w:r w:rsidRPr="00E93F19">
        <w:rPr>
          <w:bCs/>
          <w:sz w:val="22"/>
          <w:lang w:val="en-ZA"/>
        </w:rPr>
        <w:t>Outputs as defined in our</w:t>
      </w:r>
      <w:r>
        <w:rPr>
          <w:bCs/>
          <w:sz w:val="22"/>
          <w:lang w:val="en-ZA"/>
        </w:rPr>
        <w:t xml:space="preserve"> </w:t>
      </w:r>
      <w:r w:rsidR="005F294A">
        <w:rPr>
          <w:bCs/>
          <w:sz w:val="22"/>
          <w:lang w:val="en-ZA"/>
        </w:rPr>
        <w:t xml:space="preserve">log </w:t>
      </w:r>
      <w:proofErr w:type="gramStart"/>
      <w:r w:rsidR="005F294A">
        <w:rPr>
          <w:bCs/>
          <w:sz w:val="22"/>
          <w:lang w:val="en-ZA"/>
        </w:rPr>
        <w:t>frame</w:t>
      </w:r>
      <w:r w:rsidRPr="00E93F19">
        <w:rPr>
          <w:bCs/>
          <w:sz w:val="22"/>
          <w:lang w:val="en-ZA"/>
        </w:rPr>
        <w:t>, but</w:t>
      </w:r>
      <w:proofErr w:type="gramEnd"/>
      <w:r w:rsidRPr="00E93F19">
        <w:rPr>
          <w:bCs/>
          <w:sz w:val="22"/>
          <w:lang w:val="en-ZA"/>
        </w:rPr>
        <w:t xml:space="preserve"> will also be able to capture unexpected changes. To this end, a mixed method approach using both quantitative and qualitative instruments will be applied. This will not only quantify expected impacts, but also through triangulation, demonstrate how project activities are bringing about change.   </w:t>
      </w:r>
    </w:p>
    <w:p w14:paraId="029F4457" w14:textId="5BA681C7" w:rsidR="00B53799" w:rsidRPr="00E93F19" w:rsidRDefault="00B53799" w:rsidP="00B53799">
      <w:pPr>
        <w:ind w:firstLine="357"/>
        <w:rPr>
          <w:bCs/>
          <w:sz w:val="22"/>
          <w:lang w:val="en-ZA"/>
        </w:rPr>
      </w:pPr>
      <w:r w:rsidRPr="00E93F19">
        <w:rPr>
          <w:bCs/>
          <w:sz w:val="22"/>
          <w:lang w:val="en-ZA"/>
        </w:rPr>
        <w:t>Beneficiaries and Project staff, including community-based facilitators will be involved in ongoing monitoring and data collection. This will not only build local M&amp;E capacity, but will also capitalize on the trust relationships, between</w:t>
      </w:r>
      <w:r>
        <w:rPr>
          <w:bCs/>
          <w:sz w:val="22"/>
          <w:lang w:val="en-ZA"/>
        </w:rPr>
        <w:t xml:space="preserve"> PV staff, CSO </w:t>
      </w:r>
      <w:r w:rsidRPr="00E93F19">
        <w:rPr>
          <w:bCs/>
          <w:sz w:val="22"/>
          <w:lang w:val="en-ZA"/>
        </w:rPr>
        <w:t>facilitators and beneficiaries. As a result, data collection can occur in safe environments for respondents and reduce the need for socially desirable answers. Other monitoring and learning mechanisms involving beneficiaries will include regular consultations with LGBT</w:t>
      </w:r>
      <w:r>
        <w:rPr>
          <w:bCs/>
          <w:sz w:val="22"/>
          <w:lang w:val="en-ZA"/>
        </w:rPr>
        <w:t>+ youth and AGYW</w:t>
      </w:r>
      <w:r w:rsidR="00905272">
        <w:rPr>
          <w:bCs/>
          <w:sz w:val="22"/>
          <w:lang w:val="en-ZA"/>
        </w:rPr>
        <w:t>s</w:t>
      </w:r>
      <w:r w:rsidRPr="00E93F19">
        <w:rPr>
          <w:bCs/>
          <w:sz w:val="22"/>
          <w:lang w:val="en-ZA"/>
        </w:rPr>
        <w:t xml:space="preserve"> in the participating regions, their input informing project evaluation activities. As well as documenting attendance and proceedings, partners will document sessions where participants share success stories and local action points.   </w:t>
      </w:r>
    </w:p>
    <w:p w14:paraId="330D7B93" w14:textId="77777777" w:rsidR="00B53799" w:rsidRPr="00E93F19" w:rsidRDefault="00B53799" w:rsidP="00B53799">
      <w:pPr>
        <w:ind w:firstLine="357"/>
        <w:rPr>
          <w:bCs/>
          <w:sz w:val="22"/>
          <w:lang w:val="en-ZA"/>
        </w:rPr>
      </w:pPr>
      <w:r w:rsidRPr="00E93F19">
        <w:rPr>
          <w:bCs/>
          <w:sz w:val="22"/>
          <w:lang w:val="en-ZA"/>
        </w:rPr>
        <w:t xml:space="preserve">The project will rely on established monitoring systems to track implementation progress on all training and outreach activities. Where lacking, systems will be developed. All staff working on the project will receive training on M&amp;E: The use of tools, data entry, data analysis and sharing of lessons learned. When mass media is used as medium (radio, print, TV), these will be recorded, </w:t>
      </w:r>
      <w:proofErr w:type="gramStart"/>
      <w:r w:rsidRPr="00E93F19">
        <w:rPr>
          <w:bCs/>
          <w:sz w:val="22"/>
          <w:lang w:val="en-ZA"/>
        </w:rPr>
        <w:t>collected</w:t>
      </w:r>
      <w:proofErr w:type="gramEnd"/>
      <w:r w:rsidRPr="00E93F19">
        <w:rPr>
          <w:bCs/>
          <w:sz w:val="22"/>
          <w:lang w:val="en-ZA"/>
        </w:rPr>
        <w:t xml:space="preserve"> and reviewed for technical content and feedback by a media consultant. Feedback reports will be part of the project’s base of monitoring data.  </w:t>
      </w:r>
    </w:p>
    <w:p w14:paraId="274A7233" w14:textId="77777777" w:rsidR="00B53799" w:rsidRPr="00E93F19" w:rsidRDefault="00B53799" w:rsidP="00B53799">
      <w:pPr>
        <w:ind w:firstLine="357"/>
        <w:rPr>
          <w:bCs/>
          <w:sz w:val="22"/>
          <w:lang w:val="en-ZA"/>
        </w:rPr>
      </w:pPr>
      <w:proofErr w:type="gramStart"/>
      <w:r w:rsidRPr="00E93F19">
        <w:rPr>
          <w:bCs/>
          <w:sz w:val="22"/>
          <w:lang w:val="en-ZA"/>
        </w:rPr>
        <w:t>For the purpose of</w:t>
      </w:r>
      <w:proofErr w:type="gramEnd"/>
      <w:r w:rsidRPr="00E93F19">
        <w:rPr>
          <w:bCs/>
          <w:sz w:val="22"/>
          <w:lang w:val="en-ZA"/>
        </w:rPr>
        <w:t xml:space="preserve"> quality assurance, to facilitate effective mentorship and to generate qualitative data on training, interpersonal communication and outreach activities, senior staff members of PV</w:t>
      </w:r>
      <w:r>
        <w:rPr>
          <w:bCs/>
          <w:sz w:val="22"/>
          <w:lang w:val="en-ZA"/>
        </w:rPr>
        <w:t xml:space="preserve"> will also conduct frequent accompaniment visits.</w:t>
      </w:r>
      <w:r w:rsidRPr="00E93F19">
        <w:rPr>
          <w:bCs/>
          <w:sz w:val="22"/>
          <w:lang w:val="en-ZA"/>
        </w:rPr>
        <w:t xml:space="preserve">, </w:t>
      </w:r>
    </w:p>
    <w:p w14:paraId="6E0BD70E" w14:textId="77777777" w:rsidR="00B53799" w:rsidRPr="00E93F19" w:rsidRDefault="00B53799" w:rsidP="00B53799">
      <w:pPr>
        <w:ind w:firstLine="357"/>
        <w:rPr>
          <w:bCs/>
          <w:sz w:val="22"/>
          <w:lang w:val="en-ZA"/>
        </w:rPr>
      </w:pPr>
      <w:r w:rsidRPr="00E93F19">
        <w:rPr>
          <w:bCs/>
          <w:sz w:val="22"/>
          <w:lang w:val="en-ZA"/>
        </w:rPr>
        <w:t xml:space="preserve">Quarterly, progress data and qualitative feedback will be analysed and discussed by the project implementation team to identify possible points for action, </w:t>
      </w:r>
      <w:proofErr w:type="gramStart"/>
      <w:r w:rsidRPr="00E93F19">
        <w:rPr>
          <w:bCs/>
          <w:sz w:val="22"/>
          <w:lang w:val="en-ZA"/>
        </w:rPr>
        <w:t>e.g.</w:t>
      </w:r>
      <w:proofErr w:type="gramEnd"/>
      <w:r w:rsidRPr="00E93F19">
        <w:rPr>
          <w:bCs/>
          <w:sz w:val="22"/>
          <w:lang w:val="en-ZA"/>
        </w:rPr>
        <w:t xml:space="preserve"> implementation challenges, best practices for replication, unmet beneficiary needs or important changes in context. All monitoring data will be compiled into a quarterly report. </w:t>
      </w:r>
    </w:p>
    <w:p w14:paraId="57462DB2" w14:textId="14900D96" w:rsidR="00B53799" w:rsidRPr="00E93F19" w:rsidRDefault="00B53799" w:rsidP="00B53799">
      <w:pPr>
        <w:ind w:firstLine="357"/>
        <w:rPr>
          <w:sz w:val="22"/>
          <w:lang w:val="en-ZA"/>
        </w:rPr>
      </w:pPr>
      <w:r w:rsidRPr="00E93F19">
        <w:rPr>
          <w:b/>
          <w:sz w:val="22"/>
          <w:lang w:val="en-ZA"/>
        </w:rPr>
        <w:t xml:space="preserve">Stopping, reflecting, </w:t>
      </w:r>
      <w:proofErr w:type="gramStart"/>
      <w:r w:rsidRPr="00E93F19">
        <w:rPr>
          <w:b/>
          <w:sz w:val="22"/>
          <w:lang w:val="en-ZA"/>
        </w:rPr>
        <w:t>steering</w:t>
      </w:r>
      <w:proofErr w:type="gramEnd"/>
      <w:r w:rsidRPr="00E93F19">
        <w:rPr>
          <w:b/>
          <w:sz w:val="22"/>
          <w:lang w:val="en-ZA"/>
        </w:rPr>
        <w:t xml:space="preserve"> and adapting: </w:t>
      </w:r>
      <w:r w:rsidRPr="00E93F19">
        <w:rPr>
          <w:sz w:val="22"/>
          <w:lang w:val="en-ZA"/>
        </w:rPr>
        <w:t>We will</w:t>
      </w:r>
      <w:r w:rsidRPr="00E93F19">
        <w:rPr>
          <w:b/>
          <w:sz w:val="22"/>
          <w:lang w:val="en-ZA"/>
        </w:rPr>
        <w:t xml:space="preserve"> build time into work plans </w:t>
      </w:r>
      <w:r w:rsidRPr="00E93F19">
        <w:rPr>
          <w:bCs/>
          <w:sz w:val="22"/>
          <w:lang w:val="en-ZA"/>
        </w:rPr>
        <w:t>to</w:t>
      </w:r>
      <w:r w:rsidRPr="00E93F19">
        <w:rPr>
          <w:b/>
          <w:sz w:val="22"/>
          <w:lang w:val="en-ZA"/>
        </w:rPr>
        <w:t xml:space="preserve"> </w:t>
      </w:r>
      <w:r w:rsidRPr="00E93F19">
        <w:rPr>
          <w:sz w:val="22"/>
          <w:lang w:val="en-ZA"/>
        </w:rPr>
        <w:t xml:space="preserve">stop and reflect together as </w:t>
      </w:r>
      <w:r>
        <w:rPr>
          <w:sz w:val="22"/>
          <w:lang w:val="en-ZA"/>
        </w:rPr>
        <w:t xml:space="preserve">local partners, community activists in participating towns and regions with </w:t>
      </w:r>
      <w:r w:rsidRPr="00E93F19">
        <w:rPr>
          <w:sz w:val="22"/>
          <w:lang w:val="en-ZA"/>
        </w:rPr>
        <w:t xml:space="preserve">Spor Media and PV, and to consult key stakeholders. Some clear points for these kinds of review-and-steering sessions would be: </w:t>
      </w:r>
    </w:p>
    <w:p w14:paraId="3A53D803" w14:textId="77777777" w:rsidR="00B53799" w:rsidRPr="00E93F19" w:rsidRDefault="00B53799" w:rsidP="00B53799">
      <w:pPr>
        <w:numPr>
          <w:ilvl w:val="0"/>
          <w:numId w:val="15"/>
        </w:numPr>
        <w:ind w:firstLine="357"/>
        <w:rPr>
          <w:sz w:val="22"/>
          <w:lang w:val="en-ZA"/>
        </w:rPr>
      </w:pPr>
      <w:r w:rsidRPr="00E93F19">
        <w:rPr>
          <w:sz w:val="22"/>
          <w:lang w:val="en-ZA"/>
        </w:rPr>
        <w:t>after start-up in the community (to adapt the community design and methods and adjust plans</w:t>
      </w:r>
      <w:proofErr w:type="gramStart"/>
      <w:r w:rsidRPr="00E93F19">
        <w:rPr>
          <w:sz w:val="22"/>
          <w:lang w:val="en-ZA"/>
        </w:rPr>
        <w:t>);</w:t>
      </w:r>
      <w:proofErr w:type="gramEnd"/>
      <w:r w:rsidRPr="00E93F19">
        <w:rPr>
          <w:sz w:val="22"/>
          <w:lang w:val="en-ZA"/>
        </w:rPr>
        <w:t xml:space="preserve"> </w:t>
      </w:r>
    </w:p>
    <w:p w14:paraId="3D92B678" w14:textId="77777777" w:rsidR="00B53799" w:rsidRPr="00E93F19" w:rsidRDefault="00B53799" w:rsidP="00B53799">
      <w:pPr>
        <w:numPr>
          <w:ilvl w:val="0"/>
          <w:numId w:val="15"/>
        </w:numPr>
        <w:ind w:firstLine="357"/>
        <w:rPr>
          <w:sz w:val="22"/>
          <w:lang w:val="en-ZA"/>
        </w:rPr>
      </w:pPr>
      <w:r w:rsidRPr="00E93F19">
        <w:rPr>
          <w:sz w:val="22"/>
          <w:lang w:val="en-ZA"/>
        </w:rPr>
        <w:t xml:space="preserve">during and immediately after the review. </w:t>
      </w:r>
    </w:p>
    <w:p w14:paraId="406EE918" w14:textId="77777777" w:rsidR="00B53799" w:rsidRPr="00E93F19" w:rsidRDefault="00B53799" w:rsidP="00B53799">
      <w:pPr>
        <w:ind w:firstLine="357"/>
        <w:rPr>
          <w:sz w:val="22"/>
          <w:lang w:val="en-ZA"/>
        </w:rPr>
      </w:pPr>
      <w:r w:rsidRPr="00E93F19">
        <w:rPr>
          <w:b/>
          <w:sz w:val="22"/>
          <w:lang w:val="en-ZA"/>
        </w:rPr>
        <w:t xml:space="preserve">Reporting: </w:t>
      </w:r>
      <w:proofErr w:type="gramStart"/>
      <w:r w:rsidRPr="00E93F19">
        <w:rPr>
          <w:sz w:val="22"/>
          <w:lang w:val="en-ZA"/>
        </w:rPr>
        <w:t>All of</w:t>
      </w:r>
      <w:proofErr w:type="gramEnd"/>
      <w:r w:rsidRPr="00E93F19">
        <w:rPr>
          <w:sz w:val="22"/>
          <w:lang w:val="en-ZA"/>
        </w:rPr>
        <w:t xml:space="preserve"> the above material will be consolidated and reported on for accountability purposes – both to the donor and to communities and other stakeholders at key fora. </w:t>
      </w:r>
    </w:p>
    <w:p w14:paraId="79F10CD7" w14:textId="77777777" w:rsidR="00B53799" w:rsidRPr="00E93F19" w:rsidRDefault="00B53799" w:rsidP="00B53799">
      <w:pPr>
        <w:ind w:firstLine="357"/>
        <w:rPr>
          <w:sz w:val="22"/>
          <w:lang w:val="en-ZA"/>
        </w:rPr>
      </w:pPr>
      <w:r w:rsidRPr="00E93F19">
        <w:rPr>
          <w:sz w:val="22"/>
          <w:lang w:val="en-ZA"/>
        </w:rPr>
        <w:lastRenderedPageBreak/>
        <w:t xml:space="preserve">PV will use its Impact Framework model to consolidate information and evidence from this intervention with information and evidence from other projects for its own learning and strategic thinking purposes. The PV Impact Framework tracks and consolidates change in all PV interventions at five levels: individual change; local system change; organisational adaptation; connection and movement; policy and law.  </w:t>
      </w:r>
    </w:p>
    <w:p w14:paraId="2F868D1E" w14:textId="5D4076F4" w:rsidR="00B53799" w:rsidRPr="00E93F19" w:rsidRDefault="00B53799" w:rsidP="00B53799">
      <w:pPr>
        <w:ind w:firstLine="357"/>
        <w:rPr>
          <w:sz w:val="22"/>
          <w:lang w:val="en-ZA"/>
        </w:rPr>
      </w:pPr>
      <w:r w:rsidRPr="00E93F19">
        <w:rPr>
          <w:b/>
          <w:sz w:val="22"/>
          <w:lang w:val="en-ZA"/>
        </w:rPr>
        <w:t xml:space="preserve">Review: </w:t>
      </w:r>
      <w:r w:rsidRPr="00E93F19">
        <w:rPr>
          <w:sz w:val="22"/>
          <w:lang w:val="en-ZA"/>
        </w:rPr>
        <w:t>A review will be carried out towards the end of the implementation period. The review will focus on the intervention and the broader strategy that underpins it and will be forward looking, allowing its findings to feed into intervention and strategy steering, advocacy, and resource mobilisation for future work.  An external consultant will be contracted to support the review process.</w:t>
      </w:r>
      <w:r>
        <w:rPr>
          <w:sz w:val="22"/>
          <w:lang w:val="en-ZA"/>
        </w:rPr>
        <w:t xml:space="preserve"> </w:t>
      </w:r>
    </w:p>
    <w:p w14:paraId="57E078DC" w14:textId="58FB50B3" w:rsidR="00B53799" w:rsidRPr="00E93F19" w:rsidRDefault="00B53799" w:rsidP="00B53799">
      <w:pPr>
        <w:ind w:firstLine="357"/>
        <w:rPr>
          <w:sz w:val="22"/>
          <w:lang w:val="en-ZA"/>
        </w:rPr>
      </w:pPr>
      <w:r w:rsidRPr="00E93F19">
        <w:rPr>
          <w:sz w:val="22"/>
          <w:lang w:val="en-ZA"/>
        </w:rPr>
        <w:t xml:space="preserve">The review will draw on the significant quantities of data and evidence collected during the intervention implementation, as well as direct data collection at community, CSO and national levels. </w:t>
      </w:r>
      <w:r w:rsidR="00715E01">
        <w:rPr>
          <w:sz w:val="22"/>
          <w:lang w:val="en-ZA"/>
        </w:rPr>
        <w:t xml:space="preserve"> </w:t>
      </w:r>
    </w:p>
    <w:p w14:paraId="59897C44" w14:textId="69652BFA" w:rsidR="00B53799" w:rsidRDefault="00B53799" w:rsidP="00B53799">
      <w:pPr>
        <w:ind w:firstLine="357"/>
        <w:rPr>
          <w:sz w:val="22"/>
          <w:lang w:val="en-ZA"/>
        </w:rPr>
      </w:pPr>
      <w:r w:rsidRPr="00E93F19">
        <w:rPr>
          <w:sz w:val="22"/>
          <w:lang w:val="en-ZA"/>
        </w:rPr>
        <w:t xml:space="preserve">A mixed methods approach would be appropriate, with an emphasis on outcomes harvesting and drawing causal links between intervention inputs/processes and effects. The review should consolidate learning and recommendations about the design and implementation of the ‘core community change process’ which sits at the heart of this intervention. </w:t>
      </w:r>
    </w:p>
    <w:p w14:paraId="69550D07" w14:textId="50EDC00B" w:rsidR="00C03EB6" w:rsidRDefault="00C03EB6" w:rsidP="00B53799">
      <w:pPr>
        <w:ind w:firstLine="357"/>
        <w:rPr>
          <w:sz w:val="22"/>
          <w:lang w:val="en-ZA"/>
        </w:rPr>
      </w:pPr>
      <w:r w:rsidRPr="00C03EB6">
        <w:rPr>
          <w:sz w:val="22"/>
          <w:highlight w:val="yellow"/>
          <w:lang w:val="en-ZA"/>
        </w:rPr>
        <w:t>Financial Monitoring</w:t>
      </w:r>
      <w:r w:rsidRPr="006C6063">
        <w:rPr>
          <w:sz w:val="22"/>
          <w:highlight w:val="yellow"/>
          <w:lang w:val="en-ZA"/>
        </w:rPr>
        <w:t xml:space="preserve">: </w:t>
      </w:r>
      <w:r w:rsidR="00C870BD" w:rsidRPr="006C6063">
        <w:rPr>
          <w:sz w:val="22"/>
          <w:highlight w:val="yellow"/>
          <w:lang w:val="en-ZA"/>
        </w:rPr>
        <w:t>All expenses in Namibia, whether</w:t>
      </w:r>
      <w:r w:rsidR="00C36284" w:rsidRPr="006C6063">
        <w:rPr>
          <w:sz w:val="22"/>
          <w:highlight w:val="yellow"/>
          <w:lang w:val="en-ZA"/>
        </w:rPr>
        <w:t xml:space="preserve"> directly captured in PVs accounting system or </w:t>
      </w:r>
      <w:r w:rsidR="006A2934" w:rsidRPr="006C6063">
        <w:rPr>
          <w:sz w:val="22"/>
          <w:highlight w:val="yellow"/>
          <w:lang w:val="en-ZA"/>
        </w:rPr>
        <w:t>via sub-grant agreements</w:t>
      </w:r>
      <w:r w:rsidR="00F45610" w:rsidRPr="006C6063">
        <w:rPr>
          <w:sz w:val="22"/>
          <w:highlight w:val="yellow"/>
          <w:lang w:val="en-ZA"/>
        </w:rPr>
        <w:t>,</w:t>
      </w:r>
      <w:r w:rsidR="006A2934" w:rsidRPr="006C6063">
        <w:rPr>
          <w:sz w:val="22"/>
          <w:highlight w:val="yellow"/>
          <w:lang w:val="en-ZA"/>
        </w:rPr>
        <w:t xml:space="preserve"> will be monitored</w:t>
      </w:r>
      <w:r w:rsidR="00722F21" w:rsidRPr="006C6063">
        <w:rPr>
          <w:sz w:val="22"/>
          <w:highlight w:val="yellow"/>
          <w:lang w:val="en-ZA"/>
        </w:rPr>
        <w:t xml:space="preserve"> by PV</w:t>
      </w:r>
      <w:r w:rsidR="001911C8">
        <w:rPr>
          <w:sz w:val="22"/>
          <w:highlight w:val="yellow"/>
          <w:lang w:val="en-ZA"/>
        </w:rPr>
        <w:t>`</w:t>
      </w:r>
      <w:r w:rsidR="00722F21" w:rsidRPr="006C6063">
        <w:rPr>
          <w:sz w:val="22"/>
          <w:highlight w:val="yellow"/>
          <w:lang w:val="en-ZA"/>
        </w:rPr>
        <w:t>s Namibia based Project Accountant</w:t>
      </w:r>
      <w:r w:rsidR="00F45610" w:rsidRPr="006C6063">
        <w:rPr>
          <w:sz w:val="22"/>
          <w:highlight w:val="yellow"/>
          <w:lang w:val="en-ZA"/>
        </w:rPr>
        <w:t xml:space="preserve"> under oversight of the PV </w:t>
      </w:r>
      <w:r w:rsidR="00F62277" w:rsidRPr="006C6063">
        <w:rPr>
          <w:sz w:val="22"/>
          <w:highlight w:val="yellow"/>
          <w:lang w:val="en-ZA"/>
        </w:rPr>
        <w:t>Operations and Finance Director based in Cape Town.</w:t>
      </w:r>
      <w:r w:rsidR="000D4E3D" w:rsidRPr="006C6063">
        <w:rPr>
          <w:sz w:val="22"/>
          <w:highlight w:val="yellow"/>
          <w:lang w:val="en-ZA"/>
        </w:rPr>
        <w:t xml:space="preserve"> </w:t>
      </w:r>
      <w:r w:rsidR="00560F8D" w:rsidRPr="006C6063">
        <w:rPr>
          <w:sz w:val="22"/>
          <w:highlight w:val="yellow"/>
          <w:lang w:val="en-ZA"/>
        </w:rPr>
        <w:t>PV reports their expenses on a 6 monthly basis to Spor</w:t>
      </w:r>
      <w:r w:rsidR="00560F8D">
        <w:rPr>
          <w:sz w:val="22"/>
          <w:lang w:val="en-ZA"/>
        </w:rPr>
        <w:t>.</w:t>
      </w:r>
      <w:r w:rsidR="002A722F">
        <w:rPr>
          <w:sz w:val="22"/>
          <w:lang w:val="en-ZA"/>
        </w:rPr>
        <w:t xml:space="preserve"> </w:t>
      </w:r>
      <w:r w:rsidR="005B605D" w:rsidRPr="006C6063">
        <w:rPr>
          <w:sz w:val="22"/>
          <w:highlight w:val="yellow"/>
          <w:lang w:val="en-ZA"/>
        </w:rPr>
        <w:t xml:space="preserve">Expenses captured in Denmark will be monitored by the </w:t>
      </w:r>
      <w:r w:rsidR="00616269" w:rsidRPr="006C6063">
        <w:rPr>
          <w:sz w:val="22"/>
          <w:highlight w:val="yellow"/>
          <w:lang w:val="en-ZA"/>
        </w:rPr>
        <w:t>Spor Accountant and the Spor Project Manager</w:t>
      </w:r>
      <w:r w:rsidR="00222F87" w:rsidRPr="006C6063">
        <w:rPr>
          <w:sz w:val="22"/>
          <w:highlight w:val="yellow"/>
          <w:lang w:val="en-ZA"/>
        </w:rPr>
        <w:t xml:space="preserve">. </w:t>
      </w:r>
    </w:p>
    <w:p w14:paraId="74B0A894" w14:textId="1FDD4331" w:rsidR="00F10FBC" w:rsidRDefault="00F10FBC" w:rsidP="00F10FBC">
      <w:pPr>
        <w:rPr>
          <w:sz w:val="22"/>
          <w:lang w:val="en-ZA"/>
        </w:rPr>
      </w:pPr>
    </w:p>
    <w:p w14:paraId="06677CCE" w14:textId="0D8E523C" w:rsidR="00F10FBC" w:rsidRPr="00E93F19" w:rsidRDefault="00F10FBC" w:rsidP="002736DC">
      <w:pPr>
        <w:pStyle w:val="Heading2"/>
      </w:pPr>
      <w:bookmarkStart w:id="67" w:name="_Toc113951228"/>
      <w:r>
        <w:t>Involvement of volunteers</w:t>
      </w:r>
      <w:bookmarkEnd w:id="67"/>
    </w:p>
    <w:p w14:paraId="35408308" w14:textId="4D9D38BC" w:rsidR="00152722" w:rsidRDefault="000A7F1C" w:rsidP="002736DC">
      <w:pPr>
        <w:rPr>
          <w:sz w:val="22"/>
          <w:lang w:val="en-ZA"/>
        </w:rPr>
      </w:pPr>
      <w:proofErr w:type="spellStart"/>
      <w:r>
        <w:rPr>
          <w:sz w:val="22"/>
          <w:lang w:val="en-ZA"/>
        </w:rPr>
        <w:t>Spor’s</w:t>
      </w:r>
      <w:proofErr w:type="spellEnd"/>
      <w:r>
        <w:rPr>
          <w:sz w:val="22"/>
          <w:lang w:val="en-ZA"/>
        </w:rPr>
        <w:t xml:space="preserve"> work</w:t>
      </w:r>
      <w:r w:rsidR="00715E01">
        <w:rPr>
          <w:sz w:val="22"/>
          <w:lang w:val="en-ZA"/>
        </w:rPr>
        <w:t xml:space="preserve"> with this project will be </w:t>
      </w:r>
      <w:r w:rsidR="00EE7139">
        <w:rPr>
          <w:sz w:val="22"/>
          <w:lang w:val="en-ZA"/>
        </w:rPr>
        <w:t>carried out by a small working group</w:t>
      </w:r>
      <w:r w:rsidR="00415591">
        <w:rPr>
          <w:sz w:val="22"/>
          <w:lang w:val="en-ZA"/>
        </w:rPr>
        <w:t xml:space="preserve"> of experienced development professionals</w:t>
      </w:r>
      <w:r w:rsidR="00C00976">
        <w:rPr>
          <w:sz w:val="22"/>
          <w:lang w:val="en-ZA"/>
        </w:rPr>
        <w:t xml:space="preserve">. </w:t>
      </w:r>
      <w:r w:rsidR="00F911D6">
        <w:rPr>
          <w:sz w:val="22"/>
          <w:lang w:val="en-ZA"/>
        </w:rPr>
        <w:t xml:space="preserve">Most of the </w:t>
      </w:r>
      <w:r w:rsidR="009C7CE9">
        <w:rPr>
          <w:sz w:val="22"/>
          <w:lang w:val="en-ZA"/>
        </w:rPr>
        <w:t>day-to-day</w:t>
      </w:r>
      <w:r w:rsidR="00F911D6">
        <w:rPr>
          <w:sz w:val="22"/>
          <w:lang w:val="en-ZA"/>
        </w:rPr>
        <w:t xml:space="preserve"> work will be done by the PM who works</w:t>
      </w:r>
      <w:r w:rsidR="006C4298">
        <w:rPr>
          <w:sz w:val="22"/>
          <w:lang w:val="en-ZA"/>
        </w:rPr>
        <w:t xml:space="preserve"> in a partly paid/ partly voluntary position</w:t>
      </w:r>
      <w:r w:rsidR="009C7CE9">
        <w:rPr>
          <w:sz w:val="22"/>
          <w:lang w:val="en-ZA"/>
        </w:rPr>
        <w:t xml:space="preserve">. </w:t>
      </w:r>
      <w:r w:rsidR="00B34B26">
        <w:rPr>
          <w:sz w:val="22"/>
          <w:lang w:val="en-ZA"/>
        </w:rPr>
        <w:t>In addition</w:t>
      </w:r>
      <w:r>
        <w:rPr>
          <w:sz w:val="22"/>
          <w:lang w:val="en-ZA"/>
        </w:rPr>
        <w:t>,</w:t>
      </w:r>
      <w:r w:rsidR="00872039">
        <w:rPr>
          <w:sz w:val="22"/>
          <w:lang w:val="en-ZA"/>
        </w:rPr>
        <w:t xml:space="preserve"> </w:t>
      </w:r>
      <w:r w:rsidR="0025117A">
        <w:rPr>
          <w:sz w:val="22"/>
          <w:lang w:val="en-ZA"/>
        </w:rPr>
        <w:t>the</w:t>
      </w:r>
      <w:r w:rsidR="00570117">
        <w:rPr>
          <w:sz w:val="22"/>
          <w:lang w:val="en-ZA"/>
        </w:rPr>
        <w:t xml:space="preserve"> Head of </w:t>
      </w:r>
      <w:proofErr w:type="spellStart"/>
      <w:r w:rsidR="00570117">
        <w:rPr>
          <w:sz w:val="22"/>
          <w:lang w:val="en-ZA"/>
        </w:rPr>
        <w:t>Spor’s</w:t>
      </w:r>
      <w:proofErr w:type="spellEnd"/>
      <w:r w:rsidR="00570117">
        <w:rPr>
          <w:sz w:val="22"/>
          <w:lang w:val="en-ZA"/>
        </w:rPr>
        <w:t xml:space="preserve"> board </w:t>
      </w:r>
      <w:r w:rsidR="00872039">
        <w:rPr>
          <w:sz w:val="22"/>
          <w:lang w:val="en-ZA"/>
        </w:rPr>
        <w:t xml:space="preserve">will </w:t>
      </w:r>
      <w:r w:rsidR="0095223A">
        <w:rPr>
          <w:sz w:val="22"/>
          <w:lang w:val="en-ZA"/>
        </w:rPr>
        <w:t xml:space="preserve">on a voluntary basis be </w:t>
      </w:r>
      <w:r w:rsidR="00B34B26">
        <w:rPr>
          <w:sz w:val="22"/>
          <w:lang w:val="en-ZA"/>
        </w:rPr>
        <w:t xml:space="preserve">substantially </w:t>
      </w:r>
      <w:r w:rsidR="008B43CD">
        <w:rPr>
          <w:sz w:val="22"/>
          <w:lang w:val="en-ZA"/>
        </w:rPr>
        <w:t>participat</w:t>
      </w:r>
      <w:r w:rsidR="0095223A">
        <w:rPr>
          <w:sz w:val="22"/>
          <w:lang w:val="en-ZA"/>
        </w:rPr>
        <w:t>ing</w:t>
      </w:r>
      <w:r w:rsidR="008B43CD">
        <w:rPr>
          <w:sz w:val="22"/>
          <w:lang w:val="en-ZA"/>
        </w:rPr>
        <w:t xml:space="preserve"> in key decision making, will be involved in ad</w:t>
      </w:r>
      <w:r w:rsidR="0039674A">
        <w:rPr>
          <w:sz w:val="22"/>
          <w:lang w:val="en-ZA"/>
        </w:rPr>
        <w:t>vising and supporting PV around its fundraising work and will participate in the crucial learnin</w:t>
      </w:r>
      <w:r w:rsidR="0095223A">
        <w:rPr>
          <w:sz w:val="22"/>
          <w:lang w:val="en-ZA"/>
        </w:rPr>
        <w:t>g process around the review of the project.</w:t>
      </w:r>
      <w:r w:rsidR="008B43CD">
        <w:rPr>
          <w:sz w:val="22"/>
          <w:lang w:val="en-ZA"/>
        </w:rPr>
        <w:t xml:space="preserve"> </w:t>
      </w:r>
      <w:r w:rsidR="00E158C3">
        <w:rPr>
          <w:sz w:val="22"/>
          <w:lang w:val="en-ZA"/>
        </w:rPr>
        <w:t xml:space="preserve"> Other Spor members</w:t>
      </w:r>
      <w:r w:rsidR="00E669FF">
        <w:rPr>
          <w:sz w:val="22"/>
          <w:lang w:val="en-ZA"/>
        </w:rPr>
        <w:t xml:space="preserve"> and staff will be involved in specific work</w:t>
      </w:r>
      <w:r w:rsidR="00101180">
        <w:rPr>
          <w:sz w:val="22"/>
          <w:lang w:val="en-ZA"/>
        </w:rPr>
        <w:t xml:space="preserve">, </w:t>
      </w:r>
      <w:r w:rsidR="00F417C9">
        <w:rPr>
          <w:sz w:val="22"/>
          <w:lang w:val="en-ZA"/>
        </w:rPr>
        <w:t>in</w:t>
      </w:r>
      <w:r w:rsidR="00101180">
        <w:rPr>
          <w:sz w:val="22"/>
          <w:lang w:val="en-ZA"/>
        </w:rPr>
        <w:t xml:space="preserve"> relation to media and information work in Denmark.</w:t>
      </w:r>
    </w:p>
    <w:p w14:paraId="3A94CFB8" w14:textId="77777777" w:rsidR="002736DC" w:rsidRPr="00B72BD5" w:rsidRDefault="002736DC" w:rsidP="002736DC">
      <w:pPr>
        <w:rPr>
          <w:sz w:val="22"/>
          <w:lang w:val="en-ZA"/>
        </w:rPr>
      </w:pPr>
    </w:p>
    <w:p w14:paraId="5C89375A" w14:textId="77777777" w:rsidR="00727873" w:rsidRPr="005F5282" w:rsidRDefault="00727873" w:rsidP="00407190">
      <w:pPr>
        <w:pStyle w:val="Heading1"/>
        <w:numPr>
          <w:ilvl w:val="0"/>
          <w:numId w:val="8"/>
        </w:numPr>
      </w:pPr>
      <w:bookmarkStart w:id="68" w:name="_Toc113951229"/>
      <w:r w:rsidRPr="005F5282">
        <w:t>Intervention-related information work in Denmark</w:t>
      </w:r>
      <w:bookmarkEnd w:id="68"/>
    </w:p>
    <w:p w14:paraId="7FF4CA40" w14:textId="36B7DE45" w:rsidR="00B35F71" w:rsidRPr="00B35F71" w:rsidRDefault="00B35F71" w:rsidP="007953D5">
      <w:pPr>
        <w:pStyle w:val="NoSpacing"/>
        <w:rPr>
          <w:lang w:val="en-ZA"/>
        </w:rPr>
      </w:pPr>
      <w:r w:rsidRPr="00B35F71">
        <w:rPr>
          <w:u w:val="single"/>
          <w:lang w:val="en-ZA"/>
        </w:rPr>
        <w:t>Background:</w:t>
      </w:r>
      <w:r w:rsidRPr="00B35F71">
        <w:rPr>
          <w:rStyle w:val="apple-converted-space"/>
          <w:lang w:val="en-ZA"/>
        </w:rPr>
        <w:t> </w:t>
      </w:r>
      <w:r w:rsidRPr="00B35F71">
        <w:rPr>
          <w:lang w:val="en-ZA"/>
        </w:rPr>
        <w:t>Spor Media’s strategy for our activities in Denmark is to show that our Global South-partners and their beneficiaries (normally young people) – though disadvantaged – are persons with strengths and experiences. We promote peer-learning as a methodology involving youth from Denmark and from the Global South in mutual learning. Spor Media has developed the methodology “Cultural peer-learning for change” in cooperation with partners in the Global South and in EU countries involved in</w:t>
      </w:r>
      <w:r w:rsidRPr="00B35F71">
        <w:rPr>
          <w:rStyle w:val="apple-converted-space"/>
          <w:lang w:val="en-ZA"/>
        </w:rPr>
        <w:t> </w:t>
      </w:r>
      <w:r>
        <w:rPr>
          <w:lang w:val="en-US"/>
        </w:rPr>
        <w:t>CULPEER4change. </w:t>
      </w:r>
      <w:hyperlink r:id="rId16" w:history="1">
        <w:r w:rsidRPr="00B35F71">
          <w:rPr>
            <w:rStyle w:val="Hyperlink"/>
            <w:lang w:val="en-ZA"/>
          </w:rPr>
          <w:t>https://culpeer-for-change.eu/en</w:t>
        </w:r>
      </w:hyperlink>
      <w:r w:rsidRPr="00B35F71">
        <w:rPr>
          <w:lang w:val="en-ZA"/>
        </w:rPr>
        <w:t>.</w:t>
      </w:r>
    </w:p>
    <w:p w14:paraId="6D000058" w14:textId="77777777" w:rsidR="00B35F71" w:rsidRPr="00B35F71" w:rsidRDefault="00B35F71" w:rsidP="007953D5">
      <w:pPr>
        <w:pStyle w:val="NoSpacing"/>
        <w:ind w:firstLine="380"/>
        <w:rPr>
          <w:lang w:val="en-ZA"/>
        </w:rPr>
      </w:pPr>
      <w:r w:rsidRPr="00B35F71">
        <w:rPr>
          <w:lang w:val="en-ZA"/>
        </w:rPr>
        <w:t>From our Global Kids (</w:t>
      </w:r>
      <w:hyperlink r:id="rId17" w:history="1">
        <w:r w:rsidRPr="00B35F71">
          <w:rPr>
            <w:rStyle w:val="Hyperlink"/>
            <w:lang w:val="en-ZA"/>
          </w:rPr>
          <w:t>www.globalkids.dk</w:t>
        </w:r>
      </w:hyperlink>
      <w:r w:rsidRPr="00B35F71">
        <w:rPr>
          <w:lang w:val="en-ZA"/>
        </w:rPr>
        <w:t>) and Global Stay Tours (</w:t>
      </w:r>
      <w:hyperlink r:id="rId18" w:history="1">
        <w:r w:rsidRPr="00B35F71">
          <w:rPr>
            <w:rStyle w:val="Hyperlink"/>
            <w:lang w:val="en-ZA"/>
          </w:rPr>
          <w:t>www.spormedia.dk/global-stay-tours</w:t>
        </w:r>
      </w:hyperlink>
      <w:r w:rsidRPr="00B35F71">
        <w:rPr>
          <w:lang w:val="en-ZA"/>
        </w:rPr>
        <w:t>) activities we have partners in municipalities, public and private schools, high schools, independent residential schools for youth (’</w:t>
      </w:r>
      <w:proofErr w:type="spellStart"/>
      <w:r w:rsidRPr="00B35F71">
        <w:rPr>
          <w:lang w:val="en-ZA"/>
        </w:rPr>
        <w:t>efterskoler</w:t>
      </w:r>
      <w:proofErr w:type="spellEnd"/>
      <w:r w:rsidRPr="00B35F71">
        <w:rPr>
          <w:lang w:val="en-ZA"/>
        </w:rPr>
        <w:t>’) and folk high schools.</w:t>
      </w:r>
    </w:p>
    <w:p w14:paraId="341A1CFE" w14:textId="29F0D62A" w:rsidR="00B35F71" w:rsidRPr="00B35F71" w:rsidRDefault="00B35F71" w:rsidP="007953D5">
      <w:pPr>
        <w:pStyle w:val="NoSpacing"/>
        <w:ind w:firstLine="380"/>
        <w:rPr>
          <w:lang w:val="en-ZA"/>
        </w:rPr>
      </w:pPr>
      <w:r w:rsidRPr="00B35F71">
        <w:rPr>
          <w:u w:val="single"/>
          <w:lang w:val="en-ZA"/>
        </w:rPr>
        <w:t>Purpose:</w:t>
      </w:r>
      <w:r w:rsidRPr="00B35F71">
        <w:rPr>
          <w:rStyle w:val="apple-converted-space"/>
          <w:lang w:val="en-ZA"/>
        </w:rPr>
        <w:t> </w:t>
      </w:r>
      <w:r w:rsidRPr="00B35F71">
        <w:rPr>
          <w:lang w:val="en-ZA"/>
        </w:rPr>
        <w:t xml:space="preserve">Young people in Denmark become aware of the huge challenges confronting some of their peers in Namibia and </w:t>
      </w:r>
      <w:r w:rsidR="00020DAD" w:rsidRPr="00B35F71">
        <w:rPr>
          <w:lang w:val="en-ZA"/>
        </w:rPr>
        <w:t>they</w:t>
      </w:r>
      <w:r w:rsidR="00020DAD" w:rsidRPr="00B35F71">
        <w:rPr>
          <w:rStyle w:val="apple-converted-space"/>
          <w:lang w:val="en-ZA"/>
        </w:rPr>
        <w:t xml:space="preserve"> gain</w:t>
      </w:r>
      <w:r>
        <w:rPr>
          <w:lang w:val="en"/>
        </w:rPr>
        <w:t xml:space="preserve"> insight into the efforts of </w:t>
      </w:r>
      <w:r w:rsidR="005B683B">
        <w:rPr>
          <w:lang w:val="en"/>
        </w:rPr>
        <w:t xml:space="preserve">young women and </w:t>
      </w:r>
      <w:r>
        <w:rPr>
          <w:lang w:val="en"/>
        </w:rPr>
        <w:t>minority youth in Namibia to change their conditions.</w:t>
      </w:r>
      <w:r>
        <w:rPr>
          <w:rStyle w:val="apple-converted-space"/>
          <w:lang w:val="en"/>
        </w:rPr>
        <w:t> </w:t>
      </w:r>
      <w:r w:rsidRPr="00B35F71">
        <w:rPr>
          <w:lang w:val="en-ZA"/>
        </w:rPr>
        <w:t>At the same time, they will achieve knowledge about the project supported by CISU.</w:t>
      </w:r>
      <w:r w:rsidRPr="00B35F71">
        <w:rPr>
          <w:rStyle w:val="apple-converted-space"/>
          <w:lang w:val="en-ZA"/>
        </w:rPr>
        <w:t> </w:t>
      </w:r>
    </w:p>
    <w:p w14:paraId="68D6FAD6" w14:textId="77777777" w:rsidR="00B35F71" w:rsidRPr="00B35F71" w:rsidRDefault="00B35F71" w:rsidP="007953D5">
      <w:pPr>
        <w:pStyle w:val="NoSpacing"/>
        <w:ind w:firstLine="380"/>
        <w:rPr>
          <w:lang w:val="en-ZA"/>
        </w:rPr>
      </w:pPr>
      <w:r w:rsidRPr="00B35F71">
        <w:rPr>
          <w:u w:val="single"/>
          <w:lang w:val="en-ZA"/>
        </w:rPr>
        <w:t>Target groups:</w:t>
      </w:r>
      <w:r w:rsidRPr="00B35F71">
        <w:rPr>
          <w:rStyle w:val="apple-converted-space"/>
          <w:lang w:val="en-ZA"/>
        </w:rPr>
        <w:t> </w:t>
      </w:r>
      <w:r w:rsidRPr="00B35F71">
        <w:rPr>
          <w:lang w:val="en-ZA"/>
        </w:rPr>
        <w:t>Students at mainly Danish High Schools and Folk High Schools (partners from Spor Media’s Global Kids, and Global Stay Tours projects). App. 1.000 persons between 15 and 25 years.</w:t>
      </w:r>
    </w:p>
    <w:p w14:paraId="1A61D749" w14:textId="0A6DA903" w:rsidR="00B35F71" w:rsidRPr="007953D5" w:rsidRDefault="00B35F71" w:rsidP="007953D5">
      <w:pPr>
        <w:pStyle w:val="NoSpacing"/>
        <w:ind w:firstLine="380"/>
        <w:rPr>
          <w:lang w:val="en-ZA"/>
        </w:rPr>
      </w:pPr>
      <w:r w:rsidRPr="00B35F71">
        <w:rPr>
          <w:u w:val="single"/>
          <w:lang w:val="en-ZA"/>
        </w:rPr>
        <w:t>Means to be used:</w:t>
      </w:r>
      <w:r w:rsidRPr="00B35F71">
        <w:rPr>
          <w:rStyle w:val="apple-converted-space"/>
          <w:lang w:val="en-ZA"/>
        </w:rPr>
        <w:t> </w:t>
      </w:r>
      <w:r w:rsidRPr="00B35F71">
        <w:rPr>
          <w:lang w:val="en-ZA"/>
        </w:rPr>
        <w:t xml:space="preserve">In cooperation with PV and media partners in Namibia Spor Media produce a small documentary focusing on one or two selected young </w:t>
      </w:r>
      <w:proofErr w:type="spellStart"/>
      <w:r w:rsidRPr="00B35F71">
        <w:rPr>
          <w:lang w:val="en-ZA"/>
        </w:rPr>
        <w:t>persons</w:t>
      </w:r>
      <w:proofErr w:type="spellEnd"/>
      <w:r w:rsidRPr="00B35F71">
        <w:rPr>
          <w:lang w:val="en-ZA"/>
        </w:rPr>
        <w:t xml:space="preserve"> representing the target groups. </w:t>
      </w:r>
      <w:r w:rsidRPr="007953D5">
        <w:rPr>
          <w:lang w:val="en-ZA"/>
        </w:rPr>
        <w:t>These main characters are young women who involve themselves in the community change process</w:t>
      </w:r>
      <w:r w:rsidR="00843779">
        <w:rPr>
          <w:lang w:val="en-ZA"/>
        </w:rPr>
        <w:t>.</w:t>
      </w:r>
    </w:p>
    <w:p w14:paraId="368CC271" w14:textId="1498AF7E" w:rsidR="00B35F71" w:rsidRPr="007953D5" w:rsidRDefault="00B35F71" w:rsidP="007953D5">
      <w:pPr>
        <w:pStyle w:val="NoSpacing"/>
        <w:ind w:firstLine="380"/>
        <w:rPr>
          <w:lang w:val="en-ZA"/>
        </w:rPr>
      </w:pPr>
      <w:r w:rsidRPr="007953D5">
        <w:rPr>
          <w:lang w:val="en-ZA"/>
        </w:rPr>
        <w:t xml:space="preserve">The documentary will be about 15 minutes and we will </w:t>
      </w:r>
      <w:proofErr w:type="gramStart"/>
      <w:r w:rsidRPr="007953D5">
        <w:rPr>
          <w:lang w:val="en-ZA"/>
        </w:rPr>
        <w:t>translate</w:t>
      </w:r>
      <w:r w:rsidR="00B86EA2">
        <w:rPr>
          <w:lang w:val="en-ZA"/>
        </w:rPr>
        <w:t>d</w:t>
      </w:r>
      <w:proofErr w:type="gramEnd"/>
      <w:r w:rsidRPr="007953D5">
        <w:rPr>
          <w:lang w:val="en-ZA"/>
        </w:rPr>
        <w:t xml:space="preserve"> it into Danish.</w:t>
      </w:r>
    </w:p>
    <w:p w14:paraId="1D6AEE99" w14:textId="0D204A35" w:rsidR="002D6E7D" w:rsidRPr="002D6E7D" w:rsidRDefault="00B35F71" w:rsidP="00B70924">
      <w:pPr>
        <w:pStyle w:val="NoSpacing"/>
        <w:ind w:firstLine="380"/>
        <w:rPr>
          <w:lang w:val="en-ZA"/>
        </w:rPr>
      </w:pPr>
      <w:r w:rsidRPr="007953D5">
        <w:rPr>
          <w:lang w:val="en-ZA"/>
        </w:rPr>
        <w:t>Distribution via Spor Media</w:t>
      </w:r>
      <w:r w:rsidR="005B683B">
        <w:rPr>
          <w:lang w:val="en-ZA"/>
        </w:rPr>
        <w:t>’</w:t>
      </w:r>
      <w:r w:rsidRPr="007953D5">
        <w:rPr>
          <w:lang w:val="en-ZA"/>
        </w:rPr>
        <w:t>s homepages and Facebook sites.</w:t>
      </w:r>
    </w:p>
    <w:sectPr w:rsidR="002D6E7D" w:rsidRPr="002D6E7D" w:rsidSect="00442BCC">
      <w:headerReference w:type="even" r:id="rId19"/>
      <w:headerReference w:type="default" r:id="rId20"/>
      <w:footerReference w:type="default" r:id="rId21"/>
      <w:pgSz w:w="11900" w:h="16840"/>
      <w:pgMar w:top="1701" w:right="1134" w:bottom="1701" w:left="1134" w:header="794" w:footer="141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FB6F" w14:textId="77777777" w:rsidR="00161997" w:rsidRDefault="00161997" w:rsidP="002E5B7A">
      <w:r>
        <w:separator/>
      </w:r>
    </w:p>
  </w:endnote>
  <w:endnote w:type="continuationSeparator" w:id="0">
    <w:p w14:paraId="6F405E12" w14:textId="77777777" w:rsidR="00161997" w:rsidRDefault="0016199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b/>
        <w:bCs/>
        <w:color w:val="000000" w:themeColor="text1"/>
      </w:rPr>
      <w:id w:val="1761251187"/>
      <w:docPartObj>
        <w:docPartGallery w:val="Page Numbers (Bottom of Page)"/>
        <w:docPartUnique/>
      </w:docPartObj>
    </w:sdtPr>
    <w:sdtContent>
      <w:p w14:paraId="2573EB81" w14:textId="105FC011" w:rsidR="0031667B" w:rsidRPr="00080E08" w:rsidRDefault="0031667B" w:rsidP="00080E08">
        <w:pPr>
          <w:pStyle w:val="Sidetal"/>
          <w:framePr w:w="6211" w:wrap="notBeside" w:vAnchor="text" w:hAnchor="margin" w:y="801"/>
          <w:rPr>
            <w:rStyle w:val="PageNumber"/>
            <w:rFonts w:asciiTheme="minorHAnsi" w:hAnsiTheme="minorHAnsi" w:cstheme="minorHAnsi"/>
            <w:b/>
            <w:bCs/>
            <w:caps/>
            <w:color w:val="000000" w:themeColor="text1"/>
            <w:lang w:val="en-GB"/>
          </w:rPr>
        </w:pPr>
        <w:r w:rsidRPr="00665587">
          <w:rPr>
            <w:rStyle w:val="PageNumber"/>
            <w:rFonts w:asciiTheme="minorHAnsi" w:hAnsiTheme="minorHAnsi" w:cstheme="minorHAnsi"/>
            <w:b/>
            <w:bCs/>
            <w:color w:val="000000" w:themeColor="text1"/>
          </w:rPr>
          <w:fldChar w:fldCharType="begin"/>
        </w:r>
        <w:r w:rsidRPr="00080E08">
          <w:rPr>
            <w:rStyle w:val="PageNumber"/>
            <w:rFonts w:asciiTheme="minorHAnsi" w:hAnsiTheme="minorHAnsi" w:cstheme="minorHAnsi"/>
            <w:b/>
            <w:bCs/>
            <w:color w:val="000000" w:themeColor="text1"/>
            <w:lang w:val="en-US"/>
          </w:rPr>
          <w:instrText xml:space="preserve"> PAGE </w:instrText>
        </w:r>
        <w:r w:rsidRPr="00665587">
          <w:rPr>
            <w:rStyle w:val="PageNumber"/>
            <w:rFonts w:asciiTheme="minorHAnsi" w:hAnsiTheme="minorHAnsi" w:cstheme="minorHAnsi"/>
            <w:b/>
            <w:bCs/>
            <w:color w:val="000000" w:themeColor="text1"/>
          </w:rPr>
          <w:fldChar w:fldCharType="separate"/>
        </w:r>
        <w:r w:rsidRPr="00080E08">
          <w:rPr>
            <w:rStyle w:val="PageNumber"/>
            <w:rFonts w:cstheme="minorHAnsi"/>
            <w:b/>
            <w:bCs/>
            <w:color w:val="000000" w:themeColor="text1"/>
            <w:lang w:val="en-US"/>
          </w:rPr>
          <w:t>2</w:t>
        </w:r>
        <w:r w:rsidRPr="00665587">
          <w:rPr>
            <w:rStyle w:val="PageNumber"/>
            <w:rFonts w:asciiTheme="minorHAnsi" w:hAnsiTheme="minorHAnsi" w:cstheme="minorHAnsi"/>
            <w:b/>
            <w:bCs/>
            <w:color w:val="000000" w:themeColor="text1"/>
          </w:rPr>
          <w:fldChar w:fldCharType="end"/>
        </w:r>
        <w:r w:rsidRPr="00080E08">
          <w:rPr>
            <w:rStyle w:val="PageNumbe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THE CIVIL SOCIETY FUND, De</w:t>
        </w:r>
        <w:r>
          <w:rPr>
            <w:rFonts w:asciiTheme="minorHAnsi" w:hAnsiTheme="minorHAnsi" w:cstheme="minorHAnsi"/>
            <w:color w:val="000000" w:themeColor="text1"/>
            <w:lang w:val="en-US"/>
          </w:rPr>
          <w:t>velopment Interventions</w:t>
        </w:r>
        <w:r w:rsidRPr="00080E08">
          <w:rPr>
            <w:rFonts w:asciiTheme="minorHAnsi" w:hAnsiTheme="minorHAnsi" w:cstheme="minorHAnsi"/>
            <w:color w:val="000000" w:themeColor="text1"/>
            <w:lang w:val="en-US"/>
          </w:rPr>
          <w:t xml:space="preserve">. </w:t>
        </w:r>
        <w:r w:rsidRPr="00080E08">
          <w:rPr>
            <w:rFonts w:asciiTheme="minorHAnsi" w:hAnsiTheme="minorHAnsi" w:cstheme="minorHAnsi"/>
            <w:color w:val="000000" w:themeColor="text1"/>
            <w:lang w:val="en-GB"/>
          </w:rPr>
          <w:t>Revised April 2020</w:t>
        </w:r>
      </w:p>
    </w:sdtContent>
  </w:sdt>
  <w:p w14:paraId="6B1E74F9" w14:textId="77777777" w:rsidR="0031667B" w:rsidRPr="00080E08" w:rsidRDefault="0031667B" w:rsidP="009A7CE1">
    <w:pPr>
      <w:pStyle w:val="Footer"/>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288F4" w14:textId="77777777" w:rsidR="00161997" w:rsidRDefault="00161997" w:rsidP="002E5B7A">
      <w:r>
        <w:separator/>
      </w:r>
    </w:p>
  </w:footnote>
  <w:footnote w:type="continuationSeparator" w:id="0">
    <w:p w14:paraId="3360DA3F" w14:textId="77777777" w:rsidR="00161997" w:rsidRDefault="00161997" w:rsidP="002E5B7A">
      <w:r>
        <w:continuationSeparator/>
      </w:r>
    </w:p>
  </w:footnote>
  <w:footnote w:id="1">
    <w:p w14:paraId="16C7A689" w14:textId="77777777" w:rsidR="0031667B" w:rsidRPr="00A309B6" w:rsidRDefault="0031667B" w:rsidP="00A309B6">
      <w:pPr>
        <w:pStyle w:val="FootnoteText"/>
        <w:rPr>
          <w:sz w:val="18"/>
          <w:szCs w:val="18"/>
          <w:lang w:val="en-ZA"/>
        </w:rPr>
      </w:pPr>
      <w:r w:rsidRPr="00772DF1">
        <w:rPr>
          <w:rStyle w:val="FootnoteReference"/>
          <w:sz w:val="18"/>
          <w:szCs w:val="18"/>
        </w:rPr>
        <w:footnoteRef/>
      </w:r>
      <w:r w:rsidRPr="00A309B6">
        <w:rPr>
          <w:sz w:val="18"/>
          <w:szCs w:val="18"/>
          <w:lang w:val="en-ZA"/>
        </w:rPr>
        <w:t xml:space="preserve"> UNAIDS. 2019. Global AIDS Update 2019.</w:t>
      </w:r>
    </w:p>
  </w:footnote>
  <w:footnote w:id="2">
    <w:p w14:paraId="044C97A3" w14:textId="77777777" w:rsidR="0031667B" w:rsidRPr="00A309B6" w:rsidRDefault="0031667B" w:rsidP="00A309B6">
      <w:pPr>
        <w:spacing w:line="259" w:lineRule="auto"/>
        <w:rPr>
          <w:sz w:val="18"/>
          <w:szCs w:val="18"/>
          <w:lang w:val="en-ZA"/>
        </w:rPr>
      </w:pPr>
      <w:r w:rsidRPr="00772DF1">
        <w:rPr>
          <w:rStyle w:val="FootnoteReference"/>
          <w:sz w:val="18"/>
          <w:szCs w:val="18"/>
        </w:rPr>
        <w:footnoteRef/>
      </w:r>
      <w:r w:rsidRPr="00A309B6">
        <w:rPr>
          <w:sz w:val="18"/>
          <w:szCs w:val="18"/>
          <w:lang w:val="en-ZA"/>
        </w:rPr>
        <w:t xml:space="preserve"> Republic of </w:t>
      </w:r>
      <w:r w:rsidRPr="00A309B6">
        <w:rPr>
          <w:color w:val="000000"/>
          <w:sz w:val="18"/>
          <w:szCs w:val="18"/>
          <w:lang w:val="en-ZA"/>
        </w:rPr>
        <w:t xml:space="preserve">Namibia. </w:t>
      </w:r>
      <w:r w:rsidRPr="00A309B6">
        <w:rPr>
          <w:color w:val="000000"/>
          <w:sz w:val="18"/>
          <w:szCs w:val="18"/>
          <w:shd w:val="clear" w:color="auto" w:fill="FFFFFF"/>
          <w:lang w:val="en-ZA"/>
        </w:rPr>
        <w:t xml:space="preserve">2012/2013. </w:t>
      </w:r>
      <w:r w:rsidRPr="00A309B6">
        <w:rPr>
          <w:rStyle w:val="Emphasis"/>
          <w:bCs/>
          <w:color w:val="000000"/>
          <w:sz w:val="18"/>
          <w:szCs w:val="18"/>
          <w:shd w:val="clear" w:color="auto" w:fill="FFFFFF"/>
          <w:lang w:val="en-ZA"/>
        </w:rPr>
        <w:t>Integrated</w:t>
      </w:r>
      <w:r w:rsidRPr="00A309B6">
        <w:rPr>
          <w:color w:val="000000"/>
          <w:sz w:val="18"/>
          <w:szCs w:val="18"/>
          <w:shd w:val="clear" w:color="auto" w:fill="FFFFFF"/>
          <w:lang w:val="en-ZA"/>
        </w:rPr>
        <w:t> Biological </w:t>
      </w:r>
      <w:proofErr w:type="spellStart"/>
      <w:r w:rsidRPr="00A309B6">
        <w:rPr>
          <w:rStyle w:val="Emphasis"/>
          <w:bCs/>
          <w:color w:val="000000"/>
          <w:sz w:val="18"/>
          <w:szCs w:val="18"/>
          <w:shd w:val="clear" w:color="auto" w:fill="FFFFFF"/>
          <w:lang w:val="en-ZA"/>
        </w:rPr>
        <w:t>Behavioral</w:t>
      </w:r>
      <w:proofErr w:type="spellEnd"/>
      <w:r w:rsidRPr="00A309B6">
        <w:rPr>
          <w:color w:val="000000"/>
          <w:sz w:val="18"/>
          <w:szCs w:val="18"/>
          <w:shd w:val="clear" w:color="auto" w:fill="FFFFFF"/>
          <w:lang w:val="en-ZA"/>
        </w:rPr>
        <w:t> Surveillance Surveys (</w:t>
      </w:r>
      <w:r w:rsidRPr="00A309B6">
        <w:rPr>
          <w:color w:val="3C4043"/>
          <w:sz w:val="18"/>
          <w:szCs w:val="18"/>
          <w:shd w:val="clear" w:color="auto" w:fill="FFFFFF"/>
          <w:lang w:val="en-ZA"/>
        </w:rPr>
        <w:t xml:space="preserve">IBBSS) with Men who have Sex with Men. </w:t>
      </w:r>
      <w:r w:rsidRPr="00A309B6">
        <w:rPr>
          <w:sz w:val="18"/>
          <w:szCs w:val="18"/>
          <w:lang w:val="en-ZA"/>
        </w:rPr>
        <w:t>Ministry of Health and Social Services: Windhoek.</w:t>
      </w:r>
    </w:p>
  </w:footnote>
  <w:footnote w:id="3">
    <w:p w14:paraId="0961EEBB" w14:textId="77777777" w:rsidR="0031667B" w:rsidRPr="00A309B6" w:rsidRDefault="0031667B" w:rsidP="00A309B6">
      <w:pPr>
        <w:pStyle w:val="FootnoteText"/>
        <w:rPr>
          <w:sz w:val="18"/>
          <w:szCs w:val="18"/>
          <w:lang w:val="en-ZA"/>
        </w:rPr>
      </w:pPr>
      <w:r w:rsidRPr="003D6070">
        <w:rPr>
          <w:rStyle w:val="FootnoteReference"/>
          <w:sz w:val="18"/>
          <w:szCs w:val="18"/>
        </w:rPr>
        <w:footnoteRef/>
      </w:r>
      <w:r w:rsidRPr="00A309B6">
        <w:rPr>
          <w:sz w:val="18"/>
          <w:szCs w:val="18"/>
          <w:lang w:val="en-ZA"/>
        </w:rPr>
        <w:t xml:space="preserve"> Republic of Namibia. 2019. A Prioritized National Plan of Action on Gender Based Violence 2019-2023 with Monitoring and Evaluation Plan. Ministry of Gender Equality and Child Welfare: Windhoek.</w:t>
      </w:r>
    </w:p>
  </w:footnote>
  <w:footnote w:id="4">
    <w:p w14:paraId="0D103D59" w14:textId="77777777" w:rsidR="0031667B" w:rsidRPr="00C573AB" w:rsidRDefault="0031667B" w:rsidP="00A309B6">
      <w:pPr>
        <w:pStyle w:val="FootnoteText"/>
        <w:rPr>
          <w:sz w:val="18"/>
          <w:szCs w:val="18"/>
          <w:lang w:val="en-ZA"/>
        </w:rPr>
      </w:pPr>
      <w:r w:rsidRPr="00AA543F">
        <w:rPr>
          <w:rStyle w:val="FootnoteReference"/>
          <w:sz w:val="18"/>
          <w:szCs w:val="18"/>
        </w:rPr>
        <w:footnoteRef/>
      </w:r>
      <w:r w:rsidRPr="00A309B6">
        <w:rPr>
          <w:sz w:val="18"/>
          <w:szCs w:val="18"/>
          <w:lang w:val="en-ZA"/>
        </w:rPr>
        <w:t xml:space="preserve"> Republic of Namibia. 2018. Namibia Population-based HIV Impact Assessment (NAMPHIA). </w:t>
      </w:r>
      <w:r w:rsidRPr="00C573AB">
        <w:rPr>
          <w:sz w:val="18"/>
          <w:szCs w:val="18"/>
          <w:lang w:val="en-ZA"/>
        </w:rPr>
        <w:t>Ministry of Health and Social Services: Windhoek.</w:t>
      </w:r>
    </w:p>
  </w:footnote>
  <w:footnote w:id="5">
    <w:p w14:paraId="1780A025" w14:textId="77777777" w:rsidR="0031667B" w:rsidRPr="00772DF1" w:rsidRDefault="0031667B" w:rsidP="00963070">
      <w:pPr>
        <w:rPr>
          <w:sz w:val="18"/>
          <w:szCs w:val="18"/>
          <w:lang w:val="en-ZA"/>
        </w:rPr>
      </w:pPr>
      <w:r w:rsidRPr="00772DF1">
        <w:rPr>
          <w:rStyle w:val="FootnoteReference"/>
          <w:sz w:val="18"/>
          <w:szCs w:val="18"/>
        </w:rPr>
        <w:footnoteRef/>
      </w:r>
      <w:r w:rsidRPr="00772DF1">
        <w:rPr>
          <w:sz w:val="18"/>
          <w:szCs w:val="18"/>
          <w:lang w:val="en-ZA"/>
        </w:rPr>
        <w:t xml:space="preserve"> Much of the material for this section is unpacked in much greater depth – including key citations and references to primary data – in Solomons, A. 2020. </w:t>
      </w:r>
      <w:r w:rsidRPr="00F75D42">
        <w:rPr>
          <w:sz w:val="18"/>
          <w:szCs w:val="18"/>
          <w:lang w:val="en-ZA"/>
        </w:rPr>
        <w:t>Somewhere Over the Rainbow: a situational analysis of sexual and gender minority adolescents and young people in Namibia.</w:t>
      </w:r>
      <w:r w:rsidRPr="00772DF1">
        <w:rPr>
          <w:sz w:val="18"/>
          <w:szCs w:val="18"/>
          <w:lang w:val="en-ZA"/>
        </w:rPr>
        <w:t xml:space="preserve"> Positive Vibes: Windhoek.</w:t>
      </w:r>
    </w:p>
  </w:footnote>
  <w:footnote w:id="6">
    <w:p w14:paraId="3C8C703A" w14:textId="77777777" w:rsidR="0031667B" w:rsidRPr="00963070" w:rsidRDefault="0031667B" w:rsidP="00963070">
      <w:pPr>
        <w:pStyle w:val="FootnoteText"/>
        <w:rPr>
          <w:sz w:val="18"/>
          <w:szCs w:val="18"/>
          <w:lang w:val="en-ZA"/>
        </w:rPr>
      </w:pPr>
      <w:r w:rsidRPr="00772DF1">
        <w:rPr>
          <w:rStyle w:val="FootnoteReference"/>
          <w:sz w:val="18"/>
          <w:szCs w:val="18"/>
        </w:rPr>
        <w:footnoteRef/>
      </w:r>
      <w:r w:rsidRPr="00963070">
        <w:rPr>
          <w:sz w:val="18"/>
          <w:szCs w:val="18"/>
          <w:lang w:val="en-ZA"/>
        </w:rPr>
        <w:t xml:space="preserve"> </w:t>
      </w:r>
      <w:hyperlink r:id="rId1" w:history="1">
        <w:r w:rsidRPr="00963070">
          <w:rPr>
            <w:rStyle w:val="Hyperlink"/>
            <w:sz w:val="18"/>
            <w:szCs w:val="18"/>
            <w:lang w:val="en-ZA"/>
          </w:rPr>
          <w:t>http://www.gov.na/documents/10181/14134/Namibia_Constitution.pdf/37b70b76-c15c-45d4-9095-b25d8b8aa0fb</w:t>
        </w:r>
      </w:hyperlink>
      <w:r w:rsidRPr="00963070">
        <w:rPr>
          <w:sz w:val="18"/>
          <w:szCs w:val="18"/>
          <w:lang w:val="en-ZA"/>
        </w:rPr>
        <w:t xml:space="preserve"> </w:t>
      </w:r>
    </w:p>
  </w:footnote>
  <w:footnote w:id="7">
    <w:p w14:paraId="72BA3CAB" w14:textId="77777777" w:rsidR="0031667B" w:rsidRPr="00963070" w:rsidRDefault="0031667B" w:rsidP="00963070">
      <w:pPr>
        <w:pStyle w:val="FootnoteText"/>
        <w:rPr>
          <w:sz w:val="18"/>
          <w:szCs w:val="18"/>
          <w:lang w:val="en-ZA"/>
        </w:rPr>
      </w:pPr>
      <w:r w:rsidRPr="003D6070">
        <w:rPr>
          <w:rStyle w:val="FootnoteReference"/>
          <w:sz w:val="18"/>
          <w:szCs w:val="18"/>
        </w:rPr>
        <w:footnoteRef/>
      </w:r>
      <w:r w:rsidRPr="00963070">
        <w:rPr>
          <w:sz w:val="18"/>
          <w:szCs w:val="18"/>
          <w:lang w:val="en-ZA"/>
        </w:rPr>
        <w:t xml:space="preserve"> Namibia Inter-</w:t>
      </w:r>
      <w:proofErr w:type="spellStart"/>
      <w:r w:rsidRPr="00963070">
        <w:rPr>
          <w:sz w:val="18"/>
          <w:szCs w:val="18"/>
          <w:lang w:val="en-ZA"/>
        </w:rPr>
        <w:t>censal</w:t>
      </w:r>
      <w:proofErr w:type="spellEnd"/>
      <w:r w:rsidRPr="00963070">
        <w:rPr>
          <w:sz w:val="18"/>
          <w:szCs w:val="18"/>
          <w:lang w:val="en-ZA"/>
        </w:rPr>
        <w:t xml:space="preserve"> Demographic Survey 2016 Report: </w:t>
      </w:r>
      <w:hyperlink r:id="rId2" w:history="1">
        <w:r w:rsidRPr="00963070">
          <w:rPr>
            <w:rStyle w:val="Hyperlink"/>
            <w:sz w:val="18"/>
            <w:szCs w:val="18"/>
            <w:lang w:val="en-ZA"/>
          </w:rPr>
          <w:t>https://d3rp5jatom3eyn.cloudfront.net/cms/assets/documents/NIDS_2016.pdf</w:t>
        </w:r>
      </w:hyperlink>
      <w:r w:rsidRPr="00963070">
        <w:rPr>
          <w:sz w:val="18"/>
          <w:szCs w:val="18"/>
          <w:lang w:val="en-ZA"/>
        </w:rPr>
        <w:t xml:space="preserve"> </w:t>
      </w:r>
    </w:p>
  </w:footnote>
  <w:footnote w:id="8">
    <w:p w14:paraId="6DB65B50" w14:textId="77777777" w:rsidR="0031667B" w:rsidRPr="00963070" w:rsidRDefault="0031667B" w:rsidP="00963070">
      <w:pPr>
        <w:pStyle w:val="FootnoteText"/>
        <w:rPr>
          <w:sz w:val="18"/>
          <w:szCs w:val="18"/>
          <w:lang w:val="en-ZA"/>
        </w:rPr>
      </w:pPr>
      <w:r w:rsidRPr="003D6070">
        <w:rPr>
          <w:rStyle w:val="FootnoteReference"/>
          <w:sz w:val="18"/>
          <w:szCs w:val="18"/>
        </w:rPr>
        <w:footnoteRef/>
      </w:r>
      <w:r w:rsidRPr="00963070">
        <w:rPr>
          <w:sz w:val="18"/>
          <w:szCs w:val="18"/>
          <w:lang w:val="en-ZA"/>
        </w:rPr>
        <w:t xml:space="preserve"> </w:t>
      </w:r>
      <w:hyperlink r:id="rId3" w:history="1">
        <w:r w:rsidRPr="00963070">
          <w:rPr>
            <w:rStyle w:val="Hyperlink"/>
            <w:sz w:val="18"/>
            <w:szCs w:val="18"/>
            <w:lang w:val="en-ZA"/>
          </w:rPr>
          <w:t>https://www.worldbank.org/en/country/namibia/overviewin</w:t>
        </w:r>
      </w:hyperlink>
      <w:r w:rsidRPr="00963070">
        <w:rPr>
          <w:rStyle w:val="Hyperlink"/>
          <w:sz w:val="18"/>
          <w:szCs w:val="18"/>
          <w:lang w:val="en-ZA"/>
        </w:rPr>
        <w:t xml:space="preserve"> </w:t>
      </w:r>
    </w:p>
  </w:footnote>
  <w:footnote w:id="9">
    <w:p w14:paraId="07D9FB2F" w14:textId="77777777" w:rsidR="0031667B" w:rsidRPr="00963070" w:rsidRDefault="0031667B" w:rsidP="00963070">
      <w:pPr>
        <w:pStyle w:val="FootnoteText"/>
        <w:rPr>
          <w:sz w:val="18"/>
          <w:szCs w:val="18"/>
        </w:rPr>
      </w:pPr>
      <w:r w:rsidRPr="003D6070">
        <w:rPr>
          <w:rStyle w:val="FootnoteReference"/>
          <w:sz w:val="18"/>
          <w:szCs w:val="18"/>
        </w:rPr>
        <w:footnoteRef/>
      </w:r>
      <w:r w:rsidRPr="003D6070">
        <w:rPr>
          <w:sz w:val="18"/>
          <w:szCs w:val="18"/>
          <w:lang w:val="en-ZA"/>
        </w:rPr>
        <w:t xml:space="preserve"> </w:t>
      </w:r>
      <w:r w:rsidRPr="006013F2">
        <w:rPr>
          <w:rFonts w:eastAsia="Calibri"/>
          <w:sz w:val="18"/>
          <w:szCs w:val="18"/>
          <w:lang w:val="en-GB"/>
        </w:rPr>
        <w:t xml:space="preserve">By 2020, 90% of all people living with HIV will know their HIV status. By 2020, 90% of all people with diagnosed HIV infection will receive sustained antiretroviral therapy. By 2020, 90% of all people receiving antiretroviral therapy will have viral suppression. </w:t>
      </w:r>
      <w:hyperlink r:id="rId4" w:history="1">
        <w:r w:rsidRPr="00963070">
          <w:rPr>
            <w:rFonts w:eastAsia="Calibri"/>
            <w:color w:val="0000FF"/>
            <w:sz w:val="18"/>
            <w:szCs w:val="18"/>
            <w:u w:val="single"/>
          </w:rPr>
          <w:t>https://www.unaids.org/sites/default/files/media_asset/90-90-90_en.pdf</w:t>
        </w:r>
      </w:hyperlink>
    </w:p>
  </w:footnote>
  <w:footnote w:id="10">
    <w:p w14:paraId="5085FBEF" w14:textId="77777777" w:rsidR="0031667B" w:rsidRPr="00F75D42" w:rsidRDefault="0031667B" w:rsidP="00963070">
      <w:pPr>
        <w:pStyle w:val="FootnoteText"/>
        <w:rPr>
          <w:sz w:val="18"/>
          <w:szCs w:val="18"/>
        </w:rPr>
      </w:pPr>
      <w:r w:rsidRPr="00F75D42">
        <w:rPr>
          <w:rStyle w:val="FootnoteReference"/>
          <w:sz w:val="18"/>
          <w:szCs w:val="18"/>
        </w:rPr>
        <w:footnoteRef/>
      </w:r>
      <w:r w:rsidRPr="00F75D42">
        <w:rPr>
          <w:sz w:val="18"/>
          <w:szCs w:val="18"/>
        </w:rPr>
        <w:t xml:space="preserve"> </w:t>
      </w:r>
      <w:hyperlink r:id="rId5" w:history="1">
        <w:r w:rsidRPr="00963070">
          <w:rPr>
            <w:rFonts w:eastAsia="Calibri"/>
            <w:color w:val="0000FF"/>
            <w:sz w:val="18"/>
            <w:szCs w:val="18"/>
            <w:u w:val="single"/>
          </w:rPr>
          <w:t>https://data.worldbank.org/indicator/SI.POV.GINI?locations=NA</w:t>
        </w:r>
      </w:hyperlink>
    </w:p>
  </w:footnote>
  <w:footnote w:id="11">
    <w:p w14:paraId="6AD42E48" w14:textId="77777777" w:rsidR="0031667B" w:rsidRPr="00C573AB" w:rsidRDefault="0031667B" w:rsidP="00963070">
      <w:pPr>
        <w:pStyle w:val="FootnoteText"/>
        <w:rPr>
          <w:sz w:val="18"/>
          <w:szCs w:val="18"/>
          <w:lang w:val="en-ZA"/>
        </w:rPr>
      </w:pPr>
      <w:r w:rsidRPr="00772DF1">
        <w:rPr>
          <w:rStyle w:val="FootnoteReference"/>
          <w:sz w:val="18"/>
          <w:szCs w:val="18"/>
        </w:rPr>
        <w:footnoteRef/>
      </w:r>
      <w:r w:rsidRPr="00963070">
        <w:rPr>
          <w:sz w:val="18"/>
          <w:szCs w:val="18"/>
          <w:lang w:val="en-ZA"/>
        </w:rPr>
        <w:t xml:space="preserve"> Government of the Republic of Namibia </w:t>
      </w:r>
      <w:proofErr w:type="spellStart"/>
      <w:r w:rsidRPr="00963070">
        <w:rPr>
          <w:sz w:val="18"/>
          <w:szCs w:val="18"/>
          <w:lang w:val="en-ZA"/>
        </w:rPr>
        <w:t>MoHSS</w:t>
      </w:r>
      <w:proofErr w:type="spellEnd"/>
      <w:r w:rsidRPr="00963070">
        <w:rPr>
          <w:sz w:val="18"/>
          <w:szCs w:val="18"/>
          <w:lang w:val="en-ZA"/>
        </w:rPr>
        <w:t xml:space="preserve">. 2013. National Demographic Health Survey. Government of the Republic of Namibia. </w:t>
      </w:r>
      <w:r w:rsidRPr="00C573AB">
        <w:rPr>
          <w:sz w:val="18"/>
          <w:szCs w:val="18"/>
          <w:lang w:val="en-ZA"/>
        </w:rPr>
        <w:t>Ministry of Health and Social Services</w:t>
      </w:r>
    </w:p>
  </w:footnote>
  <w:footnote w:id="12">
    <w:p w14:paraId="6082E8CD" w14:textId="30E5A3C4" w:rsidR="0031667B" w:rsidRPr="009D1445" w:rsidRDefault="0031667B" w:rsidP="004324E0">
      <w:pPr>
        <w:pStyle w:val="FootnoteText"/>
        <w:rPr>
          <w:sz w:val="18"/>
          <w:szCs w:val="18"/>
          <w:lang w:val="en-ZA"/>
        </w:rPr>
      </w:pPr>
      <w:r w:rsidRPr="00AA543F">
        <w:rPr>
          <w:rStyle w:val="FootnoteReference"/>
          <w:sz w:val="18"/>
          <w:szCs w:val="18"/>
        </w:rPr>
        <w:footnoteRef/>
      </w:r>
      <w:r w:rsidRPr="004324E0">
        <w:rPr>
          <w:sz w:val="18"/>
          <w:szCs w:val="18"/>
          <w:lang w:val="en-ZA"/>
        </w:rPr>
        <w:t xml:space="preserve"> For an overview and references to research and reviews documenting the impact of PV’s various methods, see: Positive Vibes. March 2020. Ove</w:t>
      </w:r>
      <w:r>
        <w:rPr>
          <w:sz w:val="18"/>
          <w:szCs w:val="18"/>
          <w:lang w:val="en-ZA"/>
        </w:rPr>
        <w:t>rv</w:t>
      </w:r>
      <w:r w:rsidRPr="004324E0">
        <w:rPr>
          <w:sz w:val="18"/>
          <w:szCs w:val="18"/>
          <w:lang w:val="en-ZA"/>
        </w:rPr>
        <w:t>iew of Knowledge Products. PV: Windhoek.</w:t>
      </w:r>
    </w:p>
  </w:footnote>
  <w:footnote w:id="13">
    <w:p w14:paraId="755B6439" w14:textId="77777777" w:rsidR="0031667B" w:rsidRPr="00C573AB" w:rsidRDefault="0031667B" w:rsidP="004324E0">
      <w:pPr>
        <w:pStyle w:val="FootnoteText"/>
        <w:rPr>
          <w:sz w:val="18"/>
          <w:szCs w:val="18"/>
          <w:lang w:val="en-ZA"/>
        </w:rPr>
      </w:pPr>
      <w:r w:rsidRPr="000706C9">
        <w:rPr>
          <w:rStyle w:val="FootnoteReference"/>
          <w:sz w:val="18"/>
          <w:szCs w:val="18"/>
        </w:rPr>
        <w:footnoteRef/>
      </w:r>
      <w:r w:rsidRPr="004324E0">
        <w:rPr>
          <w:sz w:val="18"/>
          <w:szCs w:val="18"/>
          <w:lang w:val="en-ZA"/>
        </w:rPr>
        <w:t xml:space="preserve"> An overview of PV’s main interventions over the past 8 years and a catalogue of knowledge products, reviews, studies, etc. is available in: Positive Vibes. </w:t>
      </w:r>
      <w:r w:rsidRPr="00C573AB">
        <w:rPr>
          <w:sz w:val="18"/>
          <w:szCs w:val="18"/>
          <w:lang w:val="en-ZA"/>
        </w:rPr>
        <w:t xml:space="preserve">March 2020. Overview of Knowledge Products. PV: Windhoek. </w:t>
      </w:r>
    </w:p>
  </w:footnote>
  <w:footnote w:id="14">
    <w:p w14:paraId="34756577" w14:textId="125C31B3" w:rsidR="0031667B" w:rsidRPr="00FF7B9D" w:rsidRDefault="0031667B" w:rsidP="0005686C">
      <w:pPr>
        <w:pStyle w:val="FootnoteText"/>
        <w:rPr>
          <w:sz w:val="18"/>
          <w:szCs w:val="18"/>
          <w:lang w:val="en-GB"/>
        </w:rPr>
      </w:pPr>
      <w:r w:rsidRPr="00AF61D9">
        <w:rPr>
          <w:rStyle w:val="FootnoteReference"/>
          <w:sz w:val="18"/>
          <w:szCs w:val="18"/>
        </w:rPr>
        <w:footnoteRef/>
      </w:r>
      <w:r w:rsidRPr="0005686C">
        <w:rPr>
          <w:sz w:val="18"/>
          <w:szCs w:val="18"/>
          <w:lang w:val="en-ZA"/>
        </w:rPr>
        <w:t xml:space="preserve"> </w:t>
      </w:r>
      <w:r w:rsidR="00793245">
        <w:rPr>
          <w:sz w:val="18"/>
          <w:szCs w:val="18"/>
          <w:lang w:val="en-ZA"/>
        </w:rPr>
        <w:t>General population f</w:t>
      </w:r>
      <w:r w:rsidRPr="0005686C">
        <w:rPr>
          <w:sz w:val="18"/>
          <w:szCs w:val="18"/>
          <w:lang w:val="en-ZA"/>
        </w:rPr>
        <w:t>igures in this section were drawn from the Namibia Inter-</w:t>
      </w:r>
      <w:proofErr w:type="spellStart"/>
      <w:r w:rsidRPr="0005686C">
        <w:rPr>
          <w:sz w:val="18"/>
          <w:szCs w:val="18"/>
          <w:lang w:val="en-ZA"/>
        </w:rPr>
        <w:t>censal</w:t>
      </w:r>
      <w:proofErr w:type="spellEnd"/>
      <w:r w:rsidRPr="0005686C">
        <w:rPr>
          <w:sz w:val="18"/>
          <w:szCs w:val="18"/>
          <w:lang w:val="en-ZA"/>
        </w:rPr>
        <w:t xml:space="preserve"> Demographic Survey 2016 Report: </w:t>
      </w:r>
      <w:hyperlink r:id="rId6" w:history="1">
        <w:r w:rsidRPr="0005686C">
          <w:rPr>
            <w:rStyle w:val="Hyperlink"/>
            <w:sz w:val="18"/>
            <w:szCs w:val="18"/>
            <w:lang w:val="en-ZA"/>
          </w:rPr>
          <w:t>https://d3rp5jatom3eyn.cloudfront.net/cms/assets/documents/NIDS_2016.pdf</w:t>
        </w:r>
      </w:hyperlink>
      <w:r w:rsidRPr="0005686C">
        <w:rPr>
          <w:sz w:val="18"/>
          <w:szCs w:val="18"/>
          <w:lang w:val="en-ZA"/>
        </w:rPr>
        <w:t xml:space="preserve"> </w:t>
      </w:r>
    </w:p>
  </w:footnote>
  <w:footnote w:id="15">
    <w:p w14:paraId="15DD27C3" w14:textId="77777777" w:rsidR="007B3F54" w:rsidRPr="00C06144" w:rsidRDefault="007B3F54" w:rsidP="007B3F54">
      <w:pPr>
        <w:pStyle w:val="FootnoteText"/>
        <w:rPr>
          <w:lang w:val="en-US"/>
        </w:rPr>
      </w:pPr>
      <w:r>
        <w:rPr>
          <w:rStyle w:val="FootnoteReference"/>
        </w:rPr>
        <w:footnoteRef/>
      </w:r>
      <w:r w:rsidRPr="00C06144">
        <w:rPr>
          <w:lang w:val="en-ZA"/>
        </w:rPr>
        <w:t xml:space="preserve"> </w:t>
      </w:r>
      <w:r w:rsidRPr="00C06144">
        <w:rPr>
          <w:sz w:val="16"/>
          <w:szCs w:val="16"/>
          <w:lang w:val="en-ZA"/>
        </w:rPr>
        <w:t>General population figures in this section were drawn from the Namibia Inter-</w:t>
      </w:r>
      <w:proofErr w:type="spellStart"/>
      <w:r w:rsidRPr="00C06144">
        <w:rPr>
          <w:sz w:val="16"/>
          <w:szCs w:val="16"/>
          <w:lang w:val="en-ZA"/>
        </w:rPr>
        <w:t>censal</w:t>
      </w:r>
      <w:proofErr w:type="spellEnd"/>
      <w:r w:rsidRPr="00C06144">
        <w:rPr>
          <w:sz w:val="16"/>
          <w:szCs w:val="16"/>
          <w:lang w:val="en-ZA"/>
        </w:rPr>
        <w:t xml:space="preserve"> Demographic Survey 2016 Report: </w:t>
      </w:r>
      <w:hyperlink r:id="rId7" w:history="1">
        <w:r w:rsidRPr="00C06144">
          <w:rPr>
            <w:rStyle w:val="Hyperlink"/>
            <w:sz w:val="16"/>
            <w:szCs w:val="16"/>
            <w:lang w:val="en-ZA"/>
          </w:rPr>
          <w:t>https://d3rp5jatom3eyn.cloudfront.net/cms/assets/documents/NIDS_2016.pdf</w:t>
        </w:r>
      </w:hyperlink>
      <w:r w:rsidRPr="00C06144">
        <w:rPr>
          <w:sz w:val="16"/>
          <w:szCs w:val="16"/>
          <w:lang w:val="en-ZA"/>
        </w:rPr>
        <w:t xml:space="preserve"> </w:t>
      </w:r>
    </w:p>
  </w:footnote>
  <w:footnote w:id="16">
    <w:p w14:paraId="08744A8D" w14:textId="77777777" w:rsidR="002267C3" w:rsidRPr="00892B7A" w:rsidRDefault="002267C3" w:rsidP="002267C3">
      <w:pPr>
        <w:pStyle w:val="FootnoteText"/>
        <w:rPr>
          <w:sz w:val="18"/>
          <w:szCs w:val="18"/>
          <w:lang w:val="en-ZA"/>
        </w:rPr>
      </w:pPr>
      <w:r w:rsidRPr="00772DF1">
        <w:rPr>
          <w:rStyle w:val="FootnoteReference"/>
          <w:sz w:val="18"/>
          <w:szCs w:val="18"/>
        </w:rPr>
        <w:footnoteRef/>
      </w:r>
      <w:r w:rsidRPr="00892B7A">
        <w:rPr>
          <w:sz w:val="18"/>
          <w:szCs w:val="18"/>
          <w:lang w:val="en-ZA"/>
        </w:rPr>
        <w:t xml:space="preserve"> PVs initial work in Namibia from 2005 to 2012 was mainly focused on movement building through work with PLHIV self-help groups. Many of these groups and structures are still active today, and some continue to grow and spread to new communities without external support. This shows that movement building – through groups working together around their own interests – can be inherently self-sustaining.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31667B" w:rsidRDefault="00000000">
    <w:pPr>
      <w:pStyle w:val="Header"/>
    </w:pPr>
    <w:r>
      <w:rPr>
        <w:noProof/>
      </w:rPr>
      <w:pict w14:anchorId="5F096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5" type="#_x0000_t75" alt="CISU_Brevpapir_DK"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418E078A" w:rsidR="0031667B" w:rsidRDefault="0031667B" w:rsidP="00405DA7">
    <w:pPr>
      <w:pStyle w:val="Header"/>
      <w:tabs>
        <w:tab w:val="clear" w:pos="4986"/>
        <w:tab w:val="clear"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324"/>
    <w:multiLevelType w:val="multilevel"/>
    <w:tmpl w:val="5E426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4F451F"/>
    <w:multiLevelType w:val="hybridMultilevel"/>
    <w:tmpl w:val="97B68E56"/>
    <w:lvl w:ilvl="0" w:tplc="08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44CE3"/>
    <w:multiLevelType w:val="hybridMultilevel"/>
    <w:tmpl w:val="9FBA3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C7172DD"/>
    <w:multiLevelType w:val="hybridMultilevel"/>
    <w:tmpl w:val="B4D276C0"/>
    <w:lvl w:ilvl="0" w:tplc="1CF64F86">
      <w:start w:val="1"/>
      <w:numFmt w:val="lowerRoman"/>
      <w:lvlText w:val="%1."/>
      <w:lvlJc w:val="left"/>
      <w:pPr>
        <w:ind w:left="1077"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10FEC"/>
    <w:multiLevelType w:val="hybridMultilevel"/>
    <w:tmpl w:val="6EE4B7C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D570B8"/>
    <w:multiLevelType w:val="hybridMultilevel"/>
    <w:tmpl w:val="2C5C4830"/>
    <w:lvl w:ilvl="0" w:tplc="3996BD0C">
      <w:start w:val="43"/>
      <w:numFmt w:val="bullet"/>
      <w:lvlText w:val=""/>
      <w:lvlJc w:val="left"/>
      <w:pPr>
        <w:ind w:left="720" w:hanging="360"/>
      </w:pPr>
      <w:rPr>
        <w:rFonts w:ascii="Symbol" w:eastAsiaTheme="minorHAnsi" w:hAnsi="Symbol" w:cs="Aria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B45FA1"/>
    <w:multiLevelType w:val="hybridMultilevel"/>
    <w:tmpl w:val="256C0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735C23"/>
    <w:multiLevelType w:val="hybridMultilevel"/>
    <w:tmpl w:val="B9569E18"/>
    <w:lvl w:ilvl="0" w:tplc="984E649A">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943677C"/>
    <w:multiLevelType w:val="hybridMultilevel"/>
    <w:tmpl w:val="8F08B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0B1DEC"/>
    <w:multiLevelType w:val="hybridMultilevel"/>
    <w:tmpl w:val="1FFA34D2"/>
    <w:lvl w:ilvl="0" w:tplc="13AE74B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E00228F"/>
    <w:multiLevelType w:val="hybridMultilevel"/>
    <w:tmpl w:val="01487588"/>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E2F1744"/>
    <w:multiLevelType w:val="hybridMultilevel"/>
    <w:tmpl w:val="61BE4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8E2C8F"/>
    <w:multiLevelType w:val="hybridMultilevel"/>
    <w:tmpl w:val="5DC8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2D0E82"/>
    <w:multiLevelType w:val="hybridMultilevel"/>
    <w:tmpl w:val="B7A4C148"/>
    <w:lvl w:ilvl="0" w:tplc="6B984212">
      <w:start w:val="1"/>
      <w:numFmt w:val="bullet"/>
      <w:pStyle w:val="Heading1"/>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026811"/>
    <w:multiLevelType w:val="hybridMultilevel"/>
    <w:tmpl w:val="4582F3BC"/>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D5D27"/>
    <w:multiLevelType w:val="hybridMultilevel"/>
    <w:tmpl w:val="E2CAF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8893068"/>
    <w:multiLevelType w:val="multilevel"/>
    <w:tmpl w:val="9EB88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912781"/>
    <w:multiLevelType w:val="hybridMultilevel"/>
    <w:tmpl w:val="50AC504E"/>
    <w:lvl w:ilvl="0" w:tplc="08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D9A0007"/>
    <w:multiLevelType w:val="hybridMultilevel"/>
    <w:tmpl w:val="56767EF6"/>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239F6"/>
    <w:multiLevelType w:val="hybridMultilevel"/>
    <w:tmpl w:val="01465662"/>
    <w:lvl w:ilvl="0" w:tplc="81FC0AE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F723C8"/>
    <w:multiLevelType w:val="multilevel"/>
    <w:tmpl w:val="7422A2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002B90"/>
    <w:multiLevelType w:val="multilevel"/>
    <w:tmpl w:val="EA94F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FD1529"/>
    <w:multiLevelType w:val="hybridMultilevel"/>
    <w:tmpl w:val="02024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490123"/>
    <w:multiLevelType w:val="hybridMultilevel"/>
    <w:tmpl w:val="925694FA"/>
    <w:lvl w:ilvl="0" w:tplc="08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0297F3F"/>
    <w:multiLevelType w:val="multilevel"/>
    <w:tmpl w:val="DB5C1454"/>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292855"/>
    <w:multiLevelType w:val="hybridMultilevel"/>
    <w:tmpl w:val="D4A8E7E8"/>
    <w:lvl w:ilvl="0" w:tplc="A53C8CB8">
      <w:start w:val="1"/>
      <w:numFmt w:val="bullet"/>
      <w:lvlText w:val=""/>
      <w:lvlJc w:val="left"/>
      <w:pPr>
        <w:ind w:left="360" w:hanging="360"/>
      </w:pPr>
      <w:rPr>
        <w:rFonts w:ascii="Symbol" w:hAnsi="Symbol" w:hint="default"/>
        <w:color w:val="000000" w:themeColor="text1"/>
        <w:sz w:val="2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2DA4384"/>
    <w:multiLevelType w:val="hybridMultilevel"/>
    <w:tmpl w:val="9CF846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5F2F21"/>
    <w:multiLevelType w:val="hybridMultilevel"/>
    <w:tmpl w:val="B052CA60"/>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30" w15:restartNumberingAfterBreak="0">
    <w:nsid w:val="5B115348"/>
    <w:multiLevelType w:val="hybridMultilevel"/>
    <w:tmpl w:val="8BE20174"/>
    <w:lvl w:ilvl="0" w:tplc="E92AB0E8">
      <w:start w:val="1"/>
      <w:numFmt w:val="bullet"/>
      <w:lvlText w:val=""/>
      <w:lvlJc w:val="left"/>
      <w:pPr>
        <w:ind w:left="360" w:hanging="360"/>
      </w:pPr>
      <w:rPr>
        <w:rFonts w:ascii="Symbol" w:hAnsi="Symbol"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83B92"/>
    <w:multiLevelType w:val="hybridMultilevel"/>
    <w:tmpl w:val="006C8278"/>
    <w:lvl w:ilvl="0" w:tplc="31CE0106">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2424E4B"/>
    <w:multiLevelType w:val="hybridMultilevel"/>
    <w:tmpl w:val="8D36E47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2523295"/>
    <w:multiLevelType w:val="hybridMultilevel"/>
    <w:tmpl w:val="832A52C0"/>
    <w:lvl w:ilvl="0" w:tplc="B8D8A9E0">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4" w15:restartNumberingAfterBreak="0">
    <w:nsid w:val="65B34918"/>
    <w:multiLevelType w:val="hybridMultilevel"/>
    <w:tmpl w:val="80BE970C"/>
    <w:lvl w:ilvl="0" w:tplc="58F4EE0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7184C6B"/>
    <w:multiLevelType w:val="multilevel"/>
    <w:tmpl w:val="C4EAC4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4245F47"/>
    <w:multiLevelType w:val="hybridMultilevel"/>
    <w:tmpl w:val="D85E5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5A75717"/>
    <w:multiLevelType w:val="hybridMultilevel"/>
    <w:tmpl w:val="C76AD8AA"/>
    <w:lvl w:ilvl="0" w:tplc="E92AB0E8">
      <w:start w:val="1"/>
      <w:numFmt w:val="bullet"/>
      <w:lvlText w:val=""/>
      <w:lvlJc w:val="left"/>
      <w:pPr>
        <w:ind w:left="717" w:hanging="360"/>
      </w:pPr>
      <w:rPr>
        <w:rFonts w:ascii="Symbol" w:hAnsi="Symbol" w:hint="default"/>
        <w:color w:val="000000" w:themeColor="text1"/>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15:restartNumberingAfterBreak="0">
    <w:nsid w:val="769D295E"/>
    <w:multiLevelType w:val="hybridMultilevel"/>
    <w:tmpl w:val="5D96DE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72D3EF2"/>
    <w:multiLevelType w:val="hybridMultilevel"/>
    <w:tmpl w:val="67BACEE4"/>
    <w:lvl w:ilvl="0" w:tplc="B8D8A9E0">
      <w:start w:val="1"/>
      <w:numFmt w:val="bullet"/>
      <w:lvlText w:val=""/>
      <w:lvlJc w:val="left"/>
      <w:pPr>
        <w:ind w:left="709" w:hanging="360"/>
      </w:pPr>
      <w:rPr>
        <w:rFonts w:ascii="Symbol" w:eastAsiaTheme="minorHAnsi" w:hAnsi="Symbol" w:cs="Arial" w:hint="default"/>
      </w:rPr>
    </w:lvl>
    <w:lvl w:ilvl="1" w:tplc="04090003">
      <w:start w:val="1"/>
      <w:numFmt w:val="bullet"/>
      <w:lvlText w:val="o"/>
      <w:lvlJc w:val="left"/>
      <w:pPr>
        <w:ind w:left="1429" w:hanging="360"/>
      </w:pPr>
      <w:rPr>
        <w:rFonts w:ascii="Courier New" w:hAnsi="Courier New" w:cs="Courier New" w:hint="default"/>
      </w:rPr>
    </w:lvl>
    <w:lvl w:ilvl="2" w:tplc="04090005">
      <w:start w:val="1"/>
      <w:numFmt w:val="bullet"/>
      <w:lvlText w:val=""/>
      <w:lvlJc w:val="left"/>
      <w:pPr>
        <w:ind w:left="2149" w:hanging="360"/>
      </w:pPr>
      <w:rPr>
        <w:rFonts w:ascii="Wingdings" w:hAnsi="Wingdings" w:hint="default"/>
      </w:rPr>
    </w:lvl>
    <w:lvl w:ilvl="3" w:tplc="04090001">
      <w:start w:val="1"/>
      <w:numFmt w:val="bullet"/>
      <w:lvlText w:val=""/>
      <w:lvlJc w:val="left"/>
      <w:pPr>
        <w:ind w:left="2869" w:hanging="360"/>
      </w:pPr>
      <w:rPr>
        <w:rFonts w:ascii="Symbol" w:hAnsi="Symbol" w:hint="default"/>
      </w:rPr>
    </w:lvl>
    <w:lvl w:ilvl="4" w:tplc="04090003">
      <w:start w:val="1"/>
      <w:numFmt w:val="bullet"/>
      <w:lvlText w:val="o"/>
      <w:lvlJc w:val="left"/>
      <w:pPr>
        <w:ind w:left="3589" w:hanging="360"/>
      </w:pPr>
      <w:rPr>
        <w:rFonts w:ascii="Courier New" w:hAnsi="Courier New" w:cs="Courier New" w:hint="default"/>
      </w:rPr>
    </w:lvl>
    <w:lvl w:ilvl="5" w:tplc="04090005">
      <w:start w:val="1"/>
      <w:numFmt w:val="bullet"/>
      <w:lvlText w:val=""/>
      <w:lvlJc w:val="left"/>
      <w:pPr>
        <w:ind w:left="4309" w:hanging="360"/>
      </w:pPr>
      <w:rPr>
        <w:rFonts w:ascii="Wingdings" w:hAnsi="Wingdings" w:hint="default"/>
      </w:rPr>
    </w:lvl>
    <w:lvl w:ilvl="6" w:tplc="04090001">
      <w:start w:val="1"/>
      <w:numFmt w:val="bullet"/>
      <w:lvlText w:val=""/>
      <w:lvlJc w:val="left"/>
      <w:pPr>
        <w:ind w:left="5029" w:hanging="360"/>
      </w:pPr>
      <w:rPr>
        <w:rFonts w:ascii="Symbol" w:hAnsi="Symbol" w:hint="default"/>
      </w:rPr>
    </w:lvl>
    <w:lvl w:ilvl="7" w:tplc="04090003">
      <w:start w:val="1"/>
      <w:numFmt w:val="bullet"/>
      <w:lvlText w:val="o"/>
      <w:lvlJc w:val="left"/>
      <w:pPr>
        <w:ind w:left="5749" w:hanging="360"/>
      </w:pPr>
      <w:rPr>
        <w:rFonts w:ascii="Courier New" w:hAnsi="Courier New" w:cs="Courier New" w:hint="default"/>
      </w:rPr>
    </w:lvl>
    <w:lvl w:ilvl="8" w:tplc="04090005">
      <w:start w:val="1"/>
      <w:numFmt w:val="bullet"/>
      <w:lvlText w:val=""/>
      <w:lvlJc w:val="left"/>
      <w:pPr>
        <w:ind w:left="6469" w:hanging="360"/>
      </w:pPr>
      <w:rPr>
        <w:rFonts w:ascii="Wingdings" w:hAnsi="Wingdings" w:hint="default"/>
      </w:rPr>
    </w:lvl>
  </w:abstractNum>
  <w:abstractNum w:abstractNumId="42" w15:restartNumberingAfterBreak="0">
    <w:nsid w:val="77361509"/>
    <w:multiLevelType w:val="hybridMultilevel"/>
    <w:tmpl w:val="125A4376"/>
    <w:lvl w:ilvl="0" w:tplc="98FA1C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8AB176B"/>
    <w:multiLevelType w:val="hybridMultilevel"/>
    <w:tmpl w:val="4F2811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15:restartNumberingAfterBreak="0">
    <w:nsid w:val="79910C22"/>
    <w:multiLevelType w:val="hybridMultilevel"/>
    <w:tmpl w:val="3BC2DF94"/>
    <w:lvl w:ilvl="0" w:tplc="1512B5DC">
      <w:start w:val="1"/>
      <w:numFmt w:val="lowerRoman"/>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3A3DB2"/>
    <w:multiLevelType w:val="hybridMultilevel"/>
    <w:tmpl w:val="0D327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EA14D18"/>
    <w:multiLevelType w:val="multilevel"/>
    <w:tmpl w:val="9D147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1786817">
    <w:abstractNumId w:val="4"/>
  </w:num>
  <w:num w:numId="2" w16cid:durableId="525406365">
    <w:abstractNumId w:val="13"/>
  </w:num>
  <w:num w:numId="3" w16cid:durableId="1686321248">
    <w:abstractNumId w:val="8"/>
  </w:num>
  <w:num w:numId="4" w16cid:durableId="991953648">
    <w:abstractNumId w:val="37"/>
  </w:num>
  <w:num w:numId="5" w16cid:durableId="1496070151">
    <w:abstractNumId w:val="36"/>
  </w:num>
  <w:num w:numId="6" w16cid:durableId="1075132622">
    <w:abstractNumId w:val="15"/>
  </w:num>
  <w:num w:numId="7" w16cid:durableId="429469572">
    <w:abstractNumId w:val="10"/>
  </w:num>
  <w:num w:numId="8" w16cid:durableId="559096310">
    <w:abstractNumId w:val="31"/>
  </w:num>
  <w:num w:numId="9" w16cid:durableId="1804230286">
    <w:abstractNumId w:val="41"/>
  </w:num>
  <w:num w:numId="10" w16cid:durableId="509222576">
    <w:abstractNumId w:val="33"/>
  </w:num>
  <w:num w:numId="11" w16cid:durableId="2076513383">
    <w:abstractNumId w:val="27"/>
  </w:num>
  <w:num w:numId="12" w16cid:durableId="119224323">
    <w:abstractNumId w:val="20"/>
  </w:num>
  <w:num w:numId="13" w16cid:durableId="214246124">
    <w:abstractNumId w:val="30"/>
  </w:num>
  <w:num w:numId="14" w16cid:durableId="2001351621">
    <w:abstractNumId w:val="16"/>
  </w:num>
  <w:num w:numId="15" w16cid:durableId="2053769529">
    <w:abstractNumId w:val="6"/>
  </w:num>
  <w:num w:numId="16" w16cid:durableId="1182360410">
    <w:abstractNumId w:val="28"/>
  </w:num>
  <w:num w:numId="17" w16cid:durableId="451019026">
    <w:abstractNumId w:val="3"/>
  </w:num>
  <w:num w:numId="18" w16cid:durableId="878932259">
    <w:abstractNumId w:val="39"/>
  </w:num>
  <w:num w:numId="19" w16cid:durableId="1512601742">
    <w:abstractNumId w:val="24"/>
  </w:num>
  <w:num w:numId="20" w16cid:durableId="1128626394">
    <w:abstractNumId w:val="45"/>
  </w:num>
  <w:num w:numId="21" w16cid:durableId="764809572">
    <w:abstractNumId w:val="9"/>
  </w:num>
  <w:num w:numId="22" w16cid:durableId="1248050">
    <w:abstractNumId w:val="7"/>
  </w:num>
  <w:num w:numId="23" w16cid:durableId="542013604">
    <w:abstractNumId w:val="12"/>
  </w:num>
  <w:num w:numId="24" w16cid:durableId="61611650">
    <w:abstractNumId w:val="44"/>
  </w:num>
  <w:num w:numId="25" w16cid:durableId="965818951">
    <w:abstractNumId w:val="14"/>
  </w:num>
  <w:num w:numId="26" w16cid:durableId="1250888842">
    <w:abstractNumId w:val="38"/>
  </w:num>
  <w:num w:numId="27" w16cid:durableId="1570380393">
    <w:abstractNumId w:val="11"/>
  </w:num>
  <w:num w:numId="28" w16cid:durableId="1843550511">
    <w:abstractNumId w:val="2"/>
  </w:num>
  <w:num w:numId="29" w16cid:durableId="842208332">
    <w:abstractNumId w:val="34"/>
  </w:num>
  <w:num w:numId="30" w16cid:durableId="1161505100">
    <w:abstractNumId w:val="21"/>
  </w:num>
  <w:num w:numId="31" w16cid:durableId="636688474">
    <w:abstractNumId w:val="22"/>
  </w:num>
  <w:num w:numId="32" w16cid:durableId="124204727">
    <w:abstractNumId w:val="5"/>
  </w:num>
  <w:num w:numId="33" w16cid:durableId="553201302">
    <w:abstractNumId w:val="25"/>
  </w:num>
  <w:num w:numId="34" w16cid:durableId="47732970">
    <w:abstractNumId w:val="19"/>
  </w:num>
  <w:num w:numId="35" w16cid:durableId="536043702">
    <w:abstractNumId w:val="1"/>
  </w:num>
  <w:num w:numId="36" w16cid:durableId="1664120279">
    <w:abstractNumId w:val="43"/>
  </w:num>
  <w:num w:numId="37" w16cid:durableId="1031422203">
    <w:abstractNumId w:val="17"/>
  </w:num>
  <w:num w:numId="38" w16cid:durableId="2029600297">
    <w:abstractNumId w:val="40"/>
  </w:num>
  <w:num w:numId="39" w16cid:durableId="2025280641">
    <w:abstractNumId w:val="18"/>
  </w:num>
  <w:num w:numId="40" w16cid:durableId="1789086895">
    <w:abstractNumId w:val="0"/>
  </w:num>
  <w:num w:numId="41" w16cid:durableId="1201741261">
    <w:abstractNumId w:val="32"/>
  </w:num>
  <w:num w:numId="42" w16cid:durableId="160628931">
    <w:abstractNumId w:val="46"/>
  </w:num>
  <w:num w:numId="43" w16cid:durableId="1508059938">
    <w:abstractNumId w:val="23"/>
  </w:num>
  <w:num w:numId="44" w16cid:durableId="198711700">
    <w:abstractNumId w:val="29"/>
  </w:num>
  <w:num w:numId="45" w16cid:durableId="2047679105">
    <w:abstractNumId w:val="26"/>
  </w:num>
  <w:num w:numId="46" w16cid:durableId="365839866">
    <w:abstractNumId w:val="35"/>
  </w:num>
  <w:num w:numId="47" w16cid:durableId="1476290712">
    <w:abstractNumId w:val="42"/>
  </w:num>
  <w:num w:numId="48" w16cid:durableId="687217355">
    <w:abstractNumId w:val="35"/>
  </w:num>
  <w:num w:numId="49" w16cid:durableId="12723993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6BC"/>
    <w:rsid w:val="000010EF"/>
    <w:rsid w:val="00001DD7"/>
    <w:rsid w:val="00001FCF"/>
    <w:rsid w:val="00002B1B"/>
    <w:rsid w:val="00002D4F"/>
    <w:rsid w:val="000044E0"/>
    <w:rsid w:val="00005034"/>
    <w:rsid w:val="000050CD"/>
    <w:rsid w:val="0000549D"/>
    <w:rsid w:val="000056A4"/>
    <w:rsid w:val="00005A74"/>
    <w:rsid w:val="00005EDC"/>
    <w:rsid w:val="00006310"/>
    <w:rsid w:val="000067C8"/>
    <w:rsid w:val="00006DC4"/>
    <w:rsid w:val="000070E2"/>
    <w:rsid w:val="00007A44"/>
    <w:rsid w:val="00010CDB"/>
    <w:rsid w:val="00010D25"/>
    <w:rsid w:val="000110BE"/>
    <w:rsid w:val="00011102"/>
    <w:rsid w:val="0001139E"/>
    <w:rsid w:val="00012FFE"/>
    <w:rsid w:val="00013011"/>
    <w:rsid w:val="00013699"/>
    <w:rsid w:val="00013DD2"/>
    <w:rsid w:val="00014022"/>
    <w:rsid w:val="00014C95"/>
    <w:rsid w:val="00015278"/>
    <w:rsid w:val="000153EE"/>
    <w:rsid w:val="000159CD"/>
    <w:rsid w:val="00015A58"/>
    <w:rsid w:val="00016323"/>
    <w:rsid w:val="0001679B"/>
    <w:rsid w:val="00016D06"/>
    <w:rsid w:val="00016D94"/>
    <w:rsid w:val="000175AB"/>
    <w:rsid w:val="000175FE"/>
    <w:rsid w:val="00017C9E"/>
    <w:rsid w:val="00020D36"/>
    <w:rsid w:val="00020DAD"/>
    <w:rsid w:val="00021A97"/>
    <w:rsid w:val="00022B93"/>
    <w:rsid w:val="00022D02"/>
    <w:rsid w:val="00022E0F"/>
    <w:rsid w:val="0002311F"/>
    <w:rsid w:val="0002327C"/>
    <w:rsid w:val="00025315"/>
    <w:rsid w:val="0002547F"/>
    <w:rsid w:val="00025C7D"/>
    <w:rsid w:val="0002610E"/>
    <w:rsid w:val="00026306"/>
    <w:rsid w:val="000266FF"/>
    <w:rsid w:val="00026F3C"/>
    <w:rsid w:val="00027459"/>
    <w:rsid w:val="00027BD7"/>
    <w:rsid w:val="00027D6D"/>
    <w:rsid w:val="00027E54"/>
    <w:rsid w:val="0003047E"/>
    <w:rsid w:val="000318D7"/>
    <w:rsid w:val="000320C0"/>
    <w:rsid w:val="00032AD1"/>
    <w:rsid w:val="00032B46"/>
    <w:rsid w:val="00032CDE"/>
    <w:rsid w:val="00032D82"/>
    <w:rsid w:val="0003336C"/>
    <w:rsid w:val="00033951"/>
    <w:rsid w:val="00034050"/>
    <w:rsid w:val="000340A3"/>
    <w:rsid w:val="000354C5"/>
    <w:rsid w:val="00035562"/>
    <w:rsid w:val="00036441"/>
    <w:rsid w:val="000378BC"/>
    <w:rsid w:val="000400A6"/>
    <w:rsid w:val="000407BC"/>
    <w:rsid w:val="00040ED3"/>
    <w:rsid w:val="00040F89"/>
    <w:rsid w:val="00041CDA"/>
    <w:rsid w:val="00041DBD"/>
    <w:rsid w:val="00042258"/>
    <w:rsid w:val="00042722"/>
    <w:rsid w:val="00042E62"/>
    <w:rsid w:val="0004364D"/>
    <w:rsid w:val="000436AB"/>
    <w:rsid w:val="00043734"/>
    <w:rsid w:val="00043969"/>
    <w:rsid w:val="0004487D"/>
    <w:rsid w:val="000455D6"/>
    <w:rsid w:val="00045AB3"/>
    <w:rsid w:val="00045EC7"/>
    <w:rsid w:val="000460B2"/>
    <w:rsid w:val="00046595"/>
    <w:rsid w:val="00046A22"/>
    <w:rsid w:val="00046C65"/>
    <w:rsid w:val="00047530"/>
    <w:rsid w:val="00047D5C"/>
    <w:rsid w:val="000500EA"/>
    <w:rsid w:val="000502F9"/>
    <w:rsid w:val="0005060F"/>
    <w:rsid w:val="000506B3"/>
    <w:rsid w:val="00052A68"/>
    <w:rsid w:val="0005394D"/>
    <w:rsid w:val="00053C67"/>
    <w:rsid w:val="00054300"/>
    <w:rsid w:val="0005439D"/>
    <w:rsid w:val="0005527C"/>
    <w:rsid w:val="00055488"/>
    <w:rsid w:val="0005583B"/>
    <w:rsid w:val="00056264"/>
    <w:rsid w:val="00056312"/>
    <w:rsid w:val="0005686C"/>
    <w:rsid w:val="00056B6B"/>
    <w:rsid w:val="00056FBD"/>
    <w:rsid w:val="00057903"/>
    <w:rsid w:val="0006011A"/>
    <w:rsid w:val="00060DDA"/>
    <w:rsid w:val="00060FF0"/>
    <w:rsid w:val="000618A0"/>
    <w:rsid w:val="000639C3"/>
    <w:rsid w:val="0006449B"/>
    <w:rsid w:val="00064CC8"/>
    <w:rsid w:val="00064FFB"/>
    <w:rsid w:val="00065041"/>
    <w:rsid w:val="0006506F"/>
    <w:rsid w:val="00065114"/>
    <w:rsid w:val="000657C5"/>
    <w:rsid w:val="00065A49"/>
    <w:rsid w:val="00065D3B"/>
    <w:rsid w:val="00065D6E"/>
    <w:rsid w:val="00065E9E"/>
    <w:rsid w:val="00066BFC"/>
    <w:rsid w:val="00066EDE"/>
    <w:rsid w:val="00067378"/>
    <w:rsid w:val="00067B43"/>
    <w:rsid w:val="00067E77"/>
    <w:rsid w:val="00070200"/>
    <w:rsid w:val="00070781"/>
    <w:rsid w:val="00070A18"/>
    <w:rsid w:val="00070A73"/>
    <w:rsid w:val="00071F3E"/>
    <w:rsid w:val="00072486"/>
    <w:rsid w:val="000724C6"/>
    <w:rsid w:val="000725E6"/>
    <w:rsid w:val="000726F9"/>
    <w:rsid w:val="000728C8"/>
    <w:rsid w:val="0007307D"/>
    <w:rsid w:val="000733A5"/>
    <w:rsid w:val="000735F9"/>
    <w:rsid w:val="00073783"/>
    <w:rsid w:val="0007378D"/>
    <w:rsid w:val="00073E42"/>
    <w:rsid w:val="00074541"/>
    <w:rsid w:val="00074FF1"/>
    <w:rsid w:val="000757BB"/>
    <w:rsid w:val="00075DDD"/>
    <w:rsid w:val="0007687C"/>
    <w:rsid w:val="000772C3"/>
    <w:rsid w:val="00077B83"/>
    <w:rsid w:val="0008010E"/>
    <w:rsid w:val="00080303"/>
    <w:rsid w:val="00080E08"/>
    <w:rsid w:val="000817D7"/>
    <w:rsid w:val="00081CE0"/>
    <w:rsid w:val="00082C90"/>
    <w:rsid w:val="000835AE"/>
    <w:rsid w:val="000839E4"/>
    <w:rsid w:val="000841AC"/>
    <w:rsid w:val="000845D7"/>
    <w:rsid w:val="00084B34"/>
    <w:rsid w:val="00085D15"/>
    <w:rsid w:val="0008625A"/>
    <w:rsid w:val="00086359"/>
    <w:rsid w:val="00086E4D"/>
    <w:rsid w:val="00087EC3"/>
    <w:rsid w:val="00090265"/>
    <w:rsid w:val="00091276"/>
    <w:rsid w:val="000915B8"/>
    <w:rsid w:val="0009247A"/>
    <w:rsid w:val="000927D5"/>
    <w:rsid w:val="000930C3"/>
    <w:rsid w:val="000933F3"/>
    <w:rsid w:val="00093CEB"/>
    <w:rsid w:val="00093F50"/>
    <w:rsid w:val="000945A0"/>
    <w:rsid w:val="00094832"/>
    <w:rsid w:val="00095100"/>
    <w:rsid w:val="00096437"/>
    <w:rsid w:val="000967EF"/>
    <w:rsid w:val="00096F78"/>
    <w:rsid w:val="000A013F"/>
    <w:rsid w:val="000A212A"/>
    <w:rsid w:val="000A274A"/>
    <w:rsid w:val="000A32E4"/>
    <w:rsid w:val="000A483F"/>
    <w:rsid w:val="000A5E17"/>
    <w:rsid w:val="000A7F1C"/>
    <w:rsid w:val="000B00D0"/>
    <w:rsid w:val="000B013F"/>
    <w:rsid w:val="000B0F81"/>
    <w:rsid w:val="000B1BEB"/>
    <w:rsid w:val="000B2712"/>
    <w:rsid w:val="000B319A"/>
    <w:rsid w:val="000B3D78"/>
    <w:rsid w:val="000B4E08"/>
    <w:rsid w:val="000B5CEE"/>
    <w:rsid w:val="000B6F72"/>
    <w:rsid w:val="000C009C"/>
    <w:rsid w:val="000C088E"/>
    <w:rsid w:val="000C125B"/>
    <w:rsid w:val="000C179D"/>
    <w:rsid w:val="000C17B0"/>
    <w:rsid w:val="000C1C71"/>
    <w:rsid w:val="000C2917"/>
    <w:rsid w:val="000C298A"/>
    <w:rsid w:val="000C2CCE"/>
    <w:rsid w:val="000C30B0"/>
    <w:rsid w:val="000C3310"/>
    <w:rsid w:val="000C4BF9"/>
    <w:rsid w:val="000C53DC"/>
    <w:rsid w:val="000C570D"/>
    <w:rsid w:val="000C5B36"/>
    <w:rsid w:val="000C5D98"/>
    <w:rsid w:val="000C6C10"/>
    <w:rsid w:val="000C7547"/>
    <w:rsid w:val="000C7D8C"/>
    <w:rsid w:val="000D08ED"/>
    <w:rsid w:val="000D0C3A"/>
    <w:rsid w:val="000D0E39"/>
    <w:rsid w:val="000D0EC6"/>
    <w:rsid w:val="000D2B4C"/>
    <w:rsid w:val="000D2B8A"/>
    <w:rsid w:val="000D2D84"/>
    <w:rsid w:val="000D3617"/>
    <w:rsid w:val="000D384A"/>
    <w:rsid w:val="000D3D36"/>
    <w:rsid w:val="000D3D56"/>
    <w:rsid w:val="000D4460"/>
    <w:rsid w:val="000D4466"/>
    <w:rsid w:val="000D46A5"/>
    <w:rsid w:val="000D4E3D"/>
    <w:rsid w:val="000D55D4"/>
    <w:rsid w:val="000D66A3"/>
    <w:rsid w:val="000D7CF1"/>
    <w:rsid w:val="000E093E"/>
    <w:rsid w:val="000E0990"/>
    <w:rsid w:val="000E11CC"/>
    <w:rsid w:val="000E11DC"/>
    <w:rsid w:val="000E14F7"/>
    <w:rsid w:val="000E1CF0"/>
    <w:rsid w:val="000E1E2B"/>
    <w:rsid w:val="000E1FFD"/>
    <w:rsid w:val="000E218C"/>
    <w:rsid w:val="000E25C0"/>
    <w:rsid w:val="000E26D3"/>
    <w:rsid w:val="000E2B02"/>
    <w:rsid w:val="000E2C27"/>
    <w:rsid w:val="000E3152"/>
    <w:rsid w:val="000E3170"/>
    <w:rsid w:val="000E361D"/>
    <w:rsid w:val="000E377E"/>
    <w:rsid w:val="000E407F"/>
    <w:rsid w:val="000E4AC8"/>
    <w:rsid w:val="000E505E"/>
    <w:rsid w:val="000E5557"/>
    <w:rsid w:val="000E5744"/>
    <w:rsid w:val="000E5E3E"/>
    <w:rsid w:val="000E609C"/>
    <w:rsid w:val="000E641C"/>
    <w:rsid w:val="000E67F8"/>
    <w:rsid w:val="000E6F22"/>
    <w:rsid w:val="000E6F8A"/>
    <w:rsid w:val="000E7434"/>
    <w:rsid w:val="000F00A9"/>
    <w:rsid w:val="000F0665"/>
    <w:rsid w:val="000F206B"/>
    <w:rsid w:val="000F317C"/>
    <w:rsid w:val="000F3200"/>
    <w:rsid w:val="000F33A3"/>
    <w:rsid w:val="000F3407"/>
    <w:rsid w:val="000F3F66"/>
    <w:rsid w:val="000F4C3C"/>
    <w:rsid w:val="000F5A82"/>
    <w:rsid w:val="000F63BB"/>
    <w:rsid w:val="000F654A"/>
    <w:rsid w:val="000F70FC"/>
    <w:rsid w:val="000F7397"/>
    <w:rsid w:val="000F7AF7"/>
    <w:rsid w:val="000F7B0D"/>
    <w:rsid w:val="0010021E"/>
    <w:rsid w:val="0010034C"/>
    <w:rsid w:val="00100816"/>
    <w:rsid w:val="00100EBE"/>
    <w:rsid w:val="00100F0B"/>
    <w:rsid w:val="00101070"/>
    <w:rsid w:val="00101180"/>
    <w:rsid w:val="00101310"/>
    <w:rsid w:val="0010296E"/>
    <w:rsid w:val="00102C8A"/>
    <w:rsid w:val="00103416"/>
    <w:rsid w:val="00103570"/>
    <w:rsid w:val="001036A5"/>
    <w:rsid w:val="00103AA9"/>
    <w:rsid w:val="001046D0"/>
    <w:rsid w:val="001048B8"/>
    <w:rsid w:val="0010518B"/>
    <w:rsid w:val="001051D9"/>
    <w:rsid w:val="0010539D"/>
    <w:rsid w:val="00105A23"/>
    <w:rsid w:val="00105C1C"/>
    <w:rsid w:val="001061FD"/>
    <w:rsid w:val="0010644E"/>
    <w:rsid w:val="00106AC0"/>
    <w:rsid w:val="001070F1"/>
    <w:rsid w:val="001076C3"/>
    <w:rsid w:val="0010782B"/>
    <w:rsid w:val="0010794D"/>
    <w:rsid w:val="001100BB"/>
    <w:rsid w:val="0011052B"/>
    <w:rsid w:val="001126FC"/>
    <w:rsid w:val="00112938"/>
    <w:rsid w:val="00113DFE"/>
    <w:rsid w:val="001140DC"/>
    <w:rsid w:val="001141AA"/>
    <w:rsid w:val="00117117"/>
    <w:rsid w:val="001171C2"/>
    <w:rsid w:val="00117428"/>
    <w:rsid w:val="001174B2"/>
    <w:rsid w:val="0011768A"/>
    <w:rsid w:val="00117BBF"/>
    <w:rsid w:val="00120282"/>
    <w:rsid w:val="001204E0"/>
    <w:rsid w:val="00120A6E"/>
    <w:rsid w:val="00120CC9"/>
    <w:rsid w:val="00120CD9"/>
    <w:rsid w:val="001210C2"/>
    <w:rsid w:val="00121272"/>
    <w:rsid w:val="0012160B"/>
    <w:rsid w:val="00122059"/>
    <w:rsid w:val="00122D7F"/>
    <w:rsid w:val="00122FEA"/>
    <w:rsid w:val="001230C5"/>
    <w:rsid w:val="00123755"/>
    <w:rsid w:val="00124697"/>
    <w:rsid w:val="00125493"/>
    <w:rsid w:val="00126094"/>
    <w:rsid w:val="00126324"/>
    <w:rsid w:val="00126811"/>
    <w:rsid w:val="001268F7"/>
    <w:rsid w:val="001269C3"/>
    <w:rsid w:val="00126B68"/>
    <w:rsid w:val="00130C3D"/>
    <w:rsid w:val="0013113E"/>
    <w:rsid w:val="0013115D"/>
    <w:rsid w:val="00131D92"/>
    <w:rsid w:val="0013302F"/>
    <w:rsid w:val="001337FD"/>
    <w:rsid w:val="00133D13"/>
    <w:rsid w:val="001342FB"/>
    <w:rsid w:val="001347F3"/>
    <w:rsid w:val="00134AFC"/>
    <w:rsid w:val="00134C31"/>
    <w:rsid w:val="001366D8"/>
    <w:rsid w:val="00136820"/>
    <w:rsid w:val="00136B4F"/>
    <w:rsid w:val="00136EE7"/>
    <w:rsid w:val="0013717D"/>
    <w:rsid w:val="001412F0"/>
    <w:rsid w:val="0014137D"/>
    <w:rsid w:val="00141486"/>
    <w:rsid w:val="0014180B"/>
    <w:rsid w:val="0014270B"/>
    <w:rsid w:val="001427FC"/>
    <w:rsid w:val="00143086"/>
    <w:rsid w:val="00143132"/>
    <w:rsid w:val="00143932"/>
    <w:rsid w:val="00143A3C"/>
    <w:rsid w:val="00143CCC"/>
    <w:rsid w:val="00144744"/>
    <w:rsid w:val="00145FFA"/>
    <w:rsid w:val="00146F9B"/>
    <w:rsid w:val="0014723F"/>
    <w:rsid w:val="00147BDC"/>
    <w:rsid w:val="00147D18"/>
    <w:rsid w:val="00147E13"/>
    <w:rsid w:val="00150172"/>
    <w:rsid w:val="001502F4"/>
    <w:rsid w:val="00150483"/>
    <w:rsid w:val="00150C3D"/>
    <w:rsid w:val="0015107B"/>
    <w:rsid w:val="001514F4"/>
    <w:rsid w:val="00151CFE"/>
    <w:rsid w:val="001525C2"/>
    <w:rsid w:val="001525FA"/>
    <w:rsid w:val="00152722"/>
    <w:rsid w:val="00152778"/>
    <w:rsid w:val="001527F2"/>
    <w:rsid w:val="00152886"/>
    <w:rsid w:val="00152955"/>
    <w:rsid w:val="00152D1A"/>
    <w:rsid w:val="00152D8E"/>
    <w:rsid w:val="001536BF"/>
    <w:rsid w:val="001537BD"/>
    <w:rsid w:val="00153C9D"/>
    <w:rsid w:val="00153D5E"/>
    <w:rsid w:val="00154131"/>
    <w:rsid w:val="001542C3"/>
    <w:rsid w:val="00154F69"/>
    <w:rsid w:val="00155198"/>
    <w:rsid w:val="00155F9F"/>
    <w:rsid w:val="00156158"/>
    <w:rsid w:val="00156688"/>
    <w:rsid w:val="00156AF4"/>
    <w:rsid w:val="00156B60"/>
    <w:rsid w:val="001570A3"/>
    <w:rsid w:val="00157411"/>
    <w:rsid w:val="001576A8"/>
    <w:rsid w:val="00157DFA"/>
    <w:rsid w:val="001603CF"/>
    <w:rsid w:val="001606EE"/>
    <w:rsid w:val="00160F1C"/>
    <w:rsid w:val="00161661"/>
    <w:rsid w:val="001616BD"/>
    <w:rsid w:val="00161997"/>
    <w:rsid w:val="00161E27"/>
    <w:rsid w:val="00162257"/>
    <w:rsid w:val="0016238B"/>
    <w:rsid w:val="00163B21"/>
    <w:rsid w:val="001640D3"/>
    <w:rsid w:val="00164555"/>
    <w:rsid w:val="001647E7"/>
    <w:rsid w:val="00164DF8"/>
    <w:rsid w:val="00164E32"/>
    <w:rsid w:val="001651D1"/>
    <w:rsid w:val="00165CB5"/>
    <w:rsid w:val="00165FF9"/>
    <w:rsid w:val="0016692D"/>
    <w:rsid w:val="001669A3"/>
    <w:rsid w:val="00167006"/>
    <w:rsid w:val="00167923"/>
    <w:rsid w:val="001679E8"/>
    <w:rsid w:val="00170391"/>
    <w:rsid w:val="00171CAA"/>
    <w:rsid w:val="00171F5B"/>
    <w:rsid w:val="00171FC9"/>
    <w:rsid w:val="00172559"/>
    <w:rsid w:val="001727F6"/>
    <w:rsid w:val="00172B11"/>
    <w:rsid w:val="00173B78"/>
    <w:rsid w:val="001742C9"/>
    <w:rsid w:val="00174911"/>
    <w:rsid w:val="0017497C"/>
    <w:rsid w:val="001750AF"/>
    <w:rsid w:val="001754AF"/>
    <w:rsid w:val="00175826"/>
    <w:rsid w:val="00175BDD"/>
    <w:rsid w:val="00175C55"/>
    <w:rsid w:val="00176AF2"/>
    <w:rsid w:val="00176C6C"/>
    <w:rsid w:val="001774A4"/>
    <w:rsid w:val="00177985"/>
    <w:rsid w:val="00180549"/>
    <w:rsid w:val="00180D99"/>
    <w:rsid w:val="00181D34"/>
    <w:rsid w:val="00181F2E"/>
    <w:rsid w:val="0018310E"/>
    <w:rsid w:val="00183B26"/>
    <w:rsid w:val="0018466C"/>
    <w:rsid w:val="00184BB3"/>
    <w:rsid w:val="0018535B"/>
    <w:rsid w:val="001855D2"/>
    <w:rsid w:val="0018680F"/>
    <w:rsid w:val="00187429"/>
    <w:rsid w:val="00187A3B"/>
    <w:rsid w:val="00187B4B"/>
    <w:rsid w:val="001903FC"/>
    <w:rsid w:val="001911C8"/>
    <w:rsid w:val="001911DD"/>
    <w:rsid w:val="00191442"/>
    <w:rsid w:val="001914F7"/>
    <w:rsid w:val="00192201"/>
    <w:rsid w:val="001927DC"/>
    <w:rsid w:val="00192E6D"/>
    <w:rsid w:val="0019311B"/>
    <w:rsid w:val="0019397D"/>
    <w:rsid w:val="00193F46"/>
    <w:rsid w:val="00194A2E"/>
    <w:rsid w:val="00195734"/>
    <w:rsid w:val="001957D7"/>
    <w:rsid w:val="00195C18"/>
    <w:rsid w:val="00196A36"/>
    <w:rsid w:val="00196AE2"/>
    <w:rsid w:val="001970E4"/>
    <w:rsid w:val="00197355"/>
    <w:rsid w:val="001974A6"/>
    <w:rsid w:val="00197546"/>
    <w:rsid w:val="001979DB"/>
    <w:rsid w:val="001979DD"/>
    <w:rsid w:val="00197D18"/>
    <w:rsid w:val="001A0204"/>
    <w:rsid w:val="001A19B2"/>
    <w:rsid w:val="001A23D0"/>
    <w:rsid w:val="001A4292"/>
    <w:rsid w:val="001A56A3"/>
    <w:rsid w:val="001A573F"/>
    <w:rsid w:val="001A575E"/>
    <w:rsid w:val="001A5C9C"/>
    <w:rsid w:val="001A6046"/>
    <w:rsid w:val="001A6605"/>
    <w:rsid w:val="001A692F"/>
    <w:rsid w:val="001A7699"/>
    <w:rsid w:val="001B02FD"/>
    <w:rsid w:val="001B0658"/>
    <w:rsid w:val="001B0980"/>
    <w:rsid w:val="001B0E14"/>
    <w:rsid w:val="001B10C5"/>
    <w:rsid w:val="001B137D"/>
    <w:rsid w:val="001B14DD"/>
    <w:rsid w:val="001B1C08"/>
    <w:rsid w:val="001B1E16"/>
    <w:rsid w:val="001B1EFB"/>
    <w:rsid w:val="001B2190"/>
    <w:rsid w:val="001B346C"/>
    <w:rsid w:val="001B44A6"/>
    <w:rsid w:val="001B526F"/>
    <w:rsid w:val="001B5C8D"/>
    <w:rsid w:val="001B5F8A"/>
    <w:rsid w:val="001B6308"/>
    <w:rsid w:val="001B64BE"/>
    <w:rsid w:val="001C05C5"/>
    <w:rsid w:val="001C0A09"/>
    <w:rsid w:val="001C11B1"/>
    <w:rsid w:val="001C15F3"/>
    <w:rsid w:val="001C1CEE"/>
    <w:rsid w:val="001C285D"/>
    <w:rsid w:val="001C3456"/>
    <w:rsid w:val="001C373D"/>
    <w:rsid w:val="001C3BF3"/>
    <w:rsid w:val="001C3E17"/>
    <w:rsid w:val="001C44D4"/>
    <w:rsid w:val="001C5B23"/>
    <w:rsid w:val="001C5B5E"/>
    <w:rsid w:val="001C5C42"/>
    <w:rsid w:val="001C62D4"/>
    <w:rsid w:val="001C6ABD"/>
    <w:rsid w:val="001C6F0D"/>
    <w:rsid w:val="001C6F36"/>
    <w:rsid w:val="001C7ABD"/>
    <w:rsid w:val="001D00A6"/>
    <w:rsid w:val="001D01C6"/>
    <w:rsid w:val="001D039C"/>
    <w:rsid w:val="001D045B"/>
    <w:rsid w:val="001D0A4B"/>
    <w:rsid w:val="001D1281"/>
    <w:rsid w:val="001D1737"/>
    <w:rsid w:val="001D1A4B"/>
    <w:rsid w:val="001D25BC"/>
    <w:rsid w:val="001D2A4A"/>
    <w:rsid w:val="001D2C48"/>
    <w:rsid w:val="001D2C5A"/>
    <w:rsid w:val="001D2F0B"/>
    <w:rsid w:val="001D3A3F"/>
    <w:rsid w:val="001D3A4E"/>
    <w:rsid w:val="001D3DF0"/>
    <w:rsid w:val="001D53CE"/>
    <w:rsid w:val="001D557A"/>
    <w:rsid w:val="001D67FC"/>
    <w:rsid w:val="001D6D62"/>
    <w:rsid w:val="001D6DEC"/>
    <w:rsid w:val="001D6E8E"/>
    <w:rsid w:val="001D6ED5"/>
    <w:rsid w:val="001D71B6"/>
    <w:rsid w:val="001D753E"/>
    <w:rsid w:val="001D75F8"/>
    <w:rsid w:val="001E0284"/>
    <w:rsid w:val="001E06E9"/>
    <w:rsid w:val="001E0B47"/>
    <w:rsid w:val="001E0E70"/>
    <w:rsid w:val="001E1647"/>
    <w:rsid w:val="001E1D39"/>
    <w:rsid w:val="001E22DB"/>
    <w:rsid w:val="001E28DA"/>
    <w:rsid w:val="001E2CF5"/>
    <w:rsid w:val="001E34EF"/>
    <w:rsid w:val="001E3D96"/>
    <w:rsid w:val="001E3EC1"/>
    <w:rsid w:val="001E4351"/>
    <w:rsid w:val="001E47AD"/>
    <w:rsid w:val="001E4D3C"/>
    <w:rsid w:val="001E4E87"/>
    <w:rsid w:val="001E6098"/>
    <w:rsid w:val="001E6DD3"/>
    <w:rsid w:val="001E6ED2"/>
    <w:rsid w:val="001E6F45"/>
    <w:rsid w:val="001E7791"/>
    <w:rsid w:val="001E7AE8"/>
    <w:rsid w:val="001F08DD"/>
    <w:rsid w:val="001F0A83"/>
    <w:rsid w:val="001F215E"/>
    <w:rsid w:val="001F2246"/>
    <w:rsid w:val="001F3061"/>
    <w:rsid w:val="001F35EE"/>
    <w:rsid w:val="001F38A9"/>
    <w:rsid w:val="001F3A0B"/>
    <w:rsid w:val="001F3C8C"/>
    <w:rsid w:val="001F3FDB"/>
    <w:rsid w:val="001F4A08"/>
    <w:rsid w:val="001F4F29"/>
    <w:rsid w:val="001F556F"/>
    <w:rsid w:val="001F5B8D"/>
    <w:rsid w:val="001F6036"/>
    <w:rsid w:val="001F6214"/>
    <w:rsid w:val="001F7277"/>
    <w:rsid w:val="001F731B"/>
    <w:rsid w:val="001F7A25"/>
    <w:rsid w:val="00200025"/>
    <w:rsid w:val="00200137"/>
    <w:rsid w:val="00200620"/>
    <w:rsid w:val="0020177D"/>
    <w:rsid w:val="002020BC"/>
    <w:rsid w:val="002024B1"/>
    <w:rsid w:val="00202D90"/>
    <w:rsid w:val="0020373A"/>
    <w:rsid w:val="00203E1A"/>
    <w:rsid w:val="00204274"/>
    <w:rsid w:val="002047CC"/>
    <w:rsid w:val="00204D46"/>
    <w:rsid w:val="00205F76"/>
    <w:rsid w:val="00206148"/>
    <w:rsid w:val="0020639E"/>
    <w:rsid w:val="00206C0B"/>
    <w:rsid w:val="002073EE"/>
    <w:rsid w:val="0020745F"/>
    <w:rsid w:val="00207C6E"/>
    <w:rsid w:val="00207E8A"/>
    <w:rsid w:val="002108AC"/>
    <w:rsid w:val="00210AE8"/>
    <w:rsid w:val="002114E6"/>
    <w:rsid w:val="00213BA8"/>
    <w:rsid w:val="00213F5B"/>
    <w:rsid w:val="002145B4"/>
    <w:rsid w:val="002149DC"/>
    <w:rsid w:val="002156E4"/>
    <w:rsid w:val="002157A4"/>
    <w:rsid w:val="00215887"/>
    <w:rsid w:val="00215E72"/>
    <w:rsid w:val="002166C3"/>
    <w:rsid w:val="002168B3"/>
    <w:rsid w:val="00216EBB"/>
    <w:rsid w:val="0021712A"/>
    <w:rsid w:val="0021798E"/>
    <w:rsid w:val="00217F80"/>
    <w:rsid w:val="00220F80"/>
    <w:rsid w:val="0022101A"/>
    <w:rsid w:val="002218BA"/>
    <w:rsid w:val="002220D5"/>
    <w:rsid w:val="002228F3"/>
    <w:rsid w:val="0022299B"/>
    <w:rsid w:val="00222DAA"/>
    <w:rsid w:val="00222F87"/>
    <w:rsid w:val="00223974"/>
    <w:rsid w:val="002247D3"/>
    <w:rsid w:val="00224F60"/>
    <w:rsid w:val="00225377"/>
    <w:rsid w:val="0022543F"/>
    <w:rsid w:val="00225A1F"/>
    <w:rsid w:val="00225EDD"/>
    <w:rsid w:val="002267C3"/>
    <w:rsid w:val="00227648"/>
    <w:rsid w:val="00227886"/>
    <w:rsid w:val="00230234"/>
    <w:rsid w:val="00230E3C"/>
    <w:rsid w:val="00231034"/>
    <w:rsid w:val="0023124C"/>
    <w:rsid w:val="00231402"/>
    <w:rsid w:val="0023148C"/>
    <w:rsid w:val="002339B5"/>
    <w:rsid w:val="00233D5C"/>
    <w:rsid w:val="002346A0"/>
    <w:rsid w:val="00235380"/>
    <w:rsid w:val="00235741"/>
    <w:rsid w:val="0023600D"/>
    <w:rsid w:val="00236586"/>
    <w:rsid w:val="0023683B"/>
    <w:rsid w:val="002369FF"/>
    <w:rsid w:val="00236EEF"/>
    <w:rsid w:val="002376CA"/>
    <w:rsid w:val="0023788B"/>
    <w:rsid w:val="00240311"/>
    <w:rsid w:val="00240704"/>
    <w:rsid w:val="00240A1D"/>
    <w:rsid w:val="00240D57"/>
    <w:rsid w:val="0024277C"/>
    <w:rsid w:val="00243A1D"/>
    <w:rsid w:val="00243B7C"/>
    <w:rsid w:val="002442BB"/>
    <w:rsid w:val="0024433F"/>
    <w:rsid w:val="00244418"/>
    <w:rsid w:val="00244796"/>
    <w:rsid w:val="002449E1"/>
    <w:rsid w:val="00246154"/>
    <w:rsid w:val="0024649B"/>
    <w:rsid w:val="002464CA"/>
    <w:rsid w:val="0024664C"/>
    <w:rsid w:val="002467FF"/>
    <w:rsid w:val="00246FDE"/>
    <w:rsid w:val="00247256"/>
    <w:rsid w:val="002475D3"/>
    <w:rsid w:val="00250055"/>
    <w:rsid w:val="002501CA"/>
    <w:rsid w:val="002507F6"/>
    <w:rsid w:val="0025086A"/>
    <w:rsid w:val="00250A60"/>
    <w:rsid w:val="00250B02"/>
    <w:rsid w:val="00250B33"/>
    <w:rsid w:val="0025100B"/>
    <w:rsid w:val="0025117A"/>
    <w:rsid w:val="002515F0"/>
    <w:rsid w:val="00251904"/>
    <w:rsid w:val="00251942"/>
    <w:rsid w:val="00251B39"/>
    <w:rsid w:val="00251E5F"/>
    <w:rsid w:val="00252760"/>
    <w:rsid w:val="0025319B"/>
    <w:rsid w:val="00253E12"/>
    <w:rsid w:val="00253F7C"/>
    <w:rsid w:val="00253FEF"/>
    <w:rsid w:val="00254180"/>
    <w:rsid w:val="00254186"/>
    <w:rsid w:val="00254F3D"/>
    <w:rsid w:val="00255A93"/>
    <w:rsid w:val="00255D16"/>
    <w:rsid w:val="002561B3"/>
    <w:rsid w:val="0025685E"/>
    <w:rsid w:val="0025690C"/>
    <w:rsid w:val="0025717C"/>
    <w:rsid w:val="00257526"/>
    <w:rsid w:val="00257A51"/>
    <w:rsid w:val="00257B7D"/>
    <w:rsid w:val="00257BAE"/>
    <w:rsid w:val="00257D78"/>
    <w:rsid w:val="00260EDD"/>
    <w:rsid w:val="002614E8"/>
    <w:rsid w:val="0026154F"/>
    <w:rsid w:val="002615CF"/>
    <w:rsid w:val="0026236D"/>
    <w:rsid w:val="002628DF"/>
    <w:rsid w:val="002629BF"/>
    <w:rsid w:val="002630DF"/>
    <w:rsid w:val="00263BDC"/>
    <w:rsid w:val="00264058"/>
    <w:rsid w:val="00264E7B"/>
    <w:rsid w:val="00264FC7"/>
    <w:rsid w:val="00265A95"/>
    <w:rsid w:val="00265B3B"/>
    <w:rsid w:val="00265E42"/>
    <w:rsid w:val="0026679D"/>
    <w:rsid w:val="00266E2D"/>
    <w:rsid w:val="00267959"/>
    <w:rsid w:val="00267D41"/>
    <w:rsid w:val="00267FFD"/>
    <w:rsid w:val="0027050B"/>
    <w:rsid w:val="00270D37"/>
    <w:rsid w:val="00271125"/>
    <w:rsid w:val="002711EE"/>
    <w:rsid w:val="0027153D"/>
    <w:rsid w:val="00271AE2"/>
    <w:rsid w:val="002726C5"/>
    <w:rsid w:val="00273185"/>
    <w:rsid w:val="00273499"/>
    <w:rsid w:val="002734AC"/>
    <w:rsid w:val="002736DC"/>
    <w:rsid w:val="00273B8E"/>
    <w:rsid w:val="0027457F"/>
    <w:rsid w:val="00275001"/>
    <w:rsid w:val="00275542"/>
    <w:rsid w:val="002762EE"/>
    <w:rsid w:val="0027649E"/>
    <w:rsid w:val="002765C5"/>
    <w:rsid w:val="0028012E"/>
    <w:rsid w:val="00280354"/>
    <w:rsid w:val="002815CE"/>
    <w:rsid w:val="00282244"/>
    <w:rsid w:val="00282396"/>
    <w:rsid w:val="00282EC6"/>
    <w:rsid w:val="00283632"/>
    <w:rsid w:val="002836C7"/>
    <w:rsid w:val="0028394E"/>
    <w:rsid w:val="00283B28"/>
    <w:rsid w:val="00283D8B"/>
    <w:rsid w:val="00284FB9"/>
    <w:rsid w:val="0028525F"/>
    <w:rsid w:val="0028548C"/>
    <w:rsid w:val="00285670"/>
    <w:rsid w:val="00285EC0"/>
    <w:rsid w:val="00286435"/>
    <w:rsid w:val="002876BE"/>
    <w:rsid w:val="00287882"/>
    <w:rsid w:val="00287910"/>
    <w:rsid w:val="00287A75"/>
    <w:rsid w:val="00287DDB"/>
    <w:rsid w:val="00287F6B"/>
    <w:rsid w:val="002908FF"/>
    <w:rsid w:val="0029134A"/>
    <w:rsid w:val="00291677"/>
    <w:rsid w:val="00291A3A"/>
    <w:rsid w:val="002928A1"/>
    <w:rsid w:val="00292A90"/>
    <w:rsid w:val="00293539"/>
    <w:rsid w:val="002937BD"/>
    <w:rsid w:val="00294050"/>
    <w:rsid w:val="002946BB"/>
    <w:rsid w:val="002955A6"/>
    <w:rsid w:val="00295663"/>
    <w:rsid w:val="002957E4"/>
    <w:rsid w:val="002959FD"/>
    <w:rsid w:val="00295BA4"/>
    <w:rsid w:val="00295EF8"/>
    <w:rsid w:val="00296610"/>
    <w:rsid w:val="00296858"/>
    <w:rsid w:val="00296E16"/>
    <w:rsid w:val="00297181"/>
    <w:rsid w:val="002971FE"/>
    <w:rsid w:val="00297AC2"/>
    <w:rsid w:val="00297E80"/>
    <w:rsid w:val="002A0876"/>
    <w:rsid w:val="002A0B13"/>
    <w:rsid w:val="002A0D76"/>
    <w:rsid w:val="002A0E75"/>
    <w:rsid w:val="002A158B"/>
    <w:rsid w:val="002A2184"/>
    <w:rsid w:val="002A221D"/>
    <w:rsid w:val="002A23A6"/>
    <w:rsid w:val="002A25A6"/>
    <w:rsid w:val="002A296C"/>
    <w:rsid w:val="002A3569"/>
    <w:rsid w:val="002A35F5"/>
    <w:rsid w:val="002A3644"/>
    <w:rsid w:val="002A36D0"/>
    <w:rsid w:val="002A43DA"/>
    <w:rsid w:val="002A4D0F"/>
    <w:rsid w:val="002A4F6F"/>
    <w:rsid w:val="002A6442"/>
    <w:rsid w:val="002A722F"/>
    <w:rsid w:val="002A7988"/>
    <w:rsid w:val="002A7F70"/>
    <w:rsid w:val="002B0352"/>
    <w:rsid w:val="002B0362"/>
    <w:rsid w:val="002B0BCC"/>
    <w:rsid w:val="002B0C31"/>
    <w:rsid w:val="002B0EF6"/>
    <w:rsid w:val="002B15CA"/>
    <w:rsid w:val="002B1B70"/>
    <w:rsid w:val="002B259C"/>
    <w:rsid w:val="002B29EB"/>
    <w:rsid w:val="002B2A41"/>
    <w:rsid w:val="002B2BAD"/>
    <w:rsid w:val="002B3487"/>
    <w:rsid w:val="002B3875"/>
    <w:rsid w:val="002B3E2A"/>
    <w:rsid w:val="002B3E3B"/>
    <w:rsid w:val="002B4B2F"/>
    <w:rsid w:val="002B51A4"/>
    <w:rsid w:val="002B5F75"/>
    <w:rsid w:val="002B6329"/>
    <w:rsid w:val="002B65C2"/>
    <w:rsid w:val="002B68A7"/>
    <w:rsid w:val="002B7A7A"/>
    <w:rsid w:val="002C0A84"/>
    <w:rsid w:val="002C1213"/>
    <w:rsid w:val="002C1473"/>
    <w:rsid w:val="002C16A0"/>
    <w:rsid w:val="002C22A6"/>
    <w:rsid w:val="002C2AC1"/>
    <w:rsid w:val="002C36A9"/>
    <w:rsid w:val="002C4432"/>
    <w:rsid w:val="002C5649"/>
    <w:rsid w:val="002C6B3B"/>
    <w:rsid w:val="002C7573"/>
    <w:rsid w:val="002C7BFB"/>
    <w:rsid w:val="002C7D8B"/>
    <w:rsid w:val="002C7E56"/>
    <w:rsid w:val="002D03EF"/>
    <w:rsid w:val="002D10E3"/>
    <w:rsid w:val="002D2B61"/>
    <w:rsid w:val="002D32AE"/>
    <w:rsid w:val="002D39D7"/>
    <w:rsid w:val="002D3FDF"/>
    <w:rsid w:val="002D45BC"/>
    <w:rsid w:val="002D569D"/>
    <w:rsid w:val="002D6781"/>
    <w:rsid w:val="002D6CC4"/>
    <w:rsid w:val="002D6E7D"/>
    <w:rsid w:val="002D71B9"/>
    <w:rsid w:val="002D7338"/>
    <w:rsid w:val="002D7F3B"/>
    <w:rsid w:val="002E0786"/>
    <w:rsid w:val="002E092B"/>
    <w:rsid w:val="002E1477"/>
    <w:rsid w:val="002E15D1"/>
    <w:rsid w:val="002E1FED"/>
    <w:rsid w:val="002E2416"/>
    <w:rsid w:val="002E3C43"/>
    <w:rsid w:val="002E3EA4"/>
    <w:rsid w:val="002E4264"/>
    <w:rsid w:val="002E4A4A"/>
    <w:rsid w:val="002E5B7A"/>
    <w:rsid w:val="002E5E58"/>
    <w:rsid w:val="002E6A1B"/>
    <w:rsid w:val="002F125E"/>
    <w:rsid w:val="002F13D7"/>
    <w:rsid w:val="002F185F"/>
    <w:rsid w:val="002F2741"/>
    <w:rsid w:val="002F296D"/>
    <w:rsid w:val="002F2BC2"/>
    <w:rsid w:val="002F2DB1"/>
    <w:rsid w:val="002F3E54"/>
    <w:rsid w:val="002F44F6"/>
    <w:rsid w:val="002F472F"/>
    <w:rsid w:val="002F499A"/>
    <w:rsid w:val="002F4C09"/>
    <w:rsid w:val="002F4D75"/>
    <w:rsid w:val="002F5040"/>
    <w:rsid w:val="002F50DB"/>
    <w:rsid w:val="002F50E5"/>
    <w:rsid w:val="002F547B"/>
    <w:rsid w:val="002F59F9"/>
    <w:rsid w:val="002F619E"/>
    <w:rsid w:val="002F6249"/>
    <w:rsid w:val="002F6614"/>
    <w:rsid w:val="002F6631"/>
    <w:rsid w:val="002F678E"/>
    <w:rsid w:val="002F6D85"/>
    <w:rsid w:val="002F766F"/>
    <w:rsid w:val="002F76E5"/>
    <w:rsid w:val="002F7F4F"/>
    <w:rsid w:val="00300189"/>
    <w:rsid w:val="00300D66"/>
    <w:rsid w:val="00301273"/>
    <w:rsid w:val="00301A79"/>
    <w:rsid w:val="00301EA8"/>
    <w:rsid w:val="0030205A"/>
    <w:rsid w:val="00302457"/>
    <w:rsid w:val="00302D13"/>
    <w:rsid w:val="003038DB"/>
    <w:rsid w:val="00303C5D"/>
    <w:rsid w:val="00303FE3"/>
    <w:rsid w:val="0030470B"/>
    <w:rsid w:val="00305419"/>
    <w:rsid w:val="0030578E"/>
    <w:rsid w:val="00306ADE"/>
    <w:rsid w:val="00307466"/>
    <w:rsid w:val="003104FF"/>
    <w:rsid w:val="00311193"/>
    <w:rsid w:val="00311706"/>
    <w:rsid w:val="0031254C"/>
    <w:rsid w:val="00312689"/>
    <w:rsid w:val="00312692"/>
    <w:rsid w:val="00313096"/>
    <w:rsid w:val="003130C0"/>
    <w:rsid w:val="003134F3"/>
    <w:rsid w:val="00313672"/>
    <w:rsid w:val="0031439C"/>
    <w:rsid w:val="00314AA7"/>
    <w:rsid w:val="00314AE9"/>
    <w:rsid w:val="0031511B"/>
    <w:rsid w:val="003165A5"/>
    <w:rsid w:val="0031667B"/>
    <w:rsid w:val="00316EBF"/>
    <w:rsid w:val="003176FA"/>
    <w:rsid w:val="003179B6"/>
    <w:rsid w:val="00317A39"/>
    <w:rsid w:val="003200F9"/>
    <w:rsid w:val="00320261"/>
    <w:rsid w:val="00320C51"/>
    <w:rsid w:val="00320E1C"/>
    <w:rsid w:val="00322268"/>
    <w:rsid w:val="0032275C"/>
    <w:rsid w:val="00322C8F"/>
    <w:rsid w:val="00323243"/>
    <w:rsid w:val="003238E5"/>
    <w:rsid w:val="0032437B"/>
    <w:rsid w:val="00324D72"/>
    <w:rsid w:val="0032639A"/>
    <w:rsid w:val="00326792"/>
    <w:rsid w:val="00326C18"/>
    <w:rsid w:val="00326D8C"/>
    <w:rsid w:val="00326F46"/>
    <w:rsid w:val="00327643"/>
    <w:rsid w:val="00327826"/>
    <w:rsid w:val="00331365"/>
    <w:rsid w:val="0033283A"/>
    <w:rsid w:val="003335A9"/>
    <w:rsid w:val="00333832"/>
    <w:rsid w:val="003346E5"/>
    <w:rsid w:val="00334B32"/>
    <w:rsid w:val="00334BDC"/>
    <w:rsid w:val="00335AE0"/>
    <w:rsid w:val="0033686A"/>
    <w:rsid w:val="00336E97"/>
    <w:rsid w:val="00337215"/>
    <w:rsid w:val="0033796D"/>
    <w:rsid w:val="00337F88"/>
    <w:rsid w:val="00340B09"/>
    <w:rsid w:val="00340C18"/>
    <w:rsid w:val="00340F2B"/>
    <w:rsid w:val="0034189D"/>
    <w:rsid w:val="003421CE"/>
    <w:rsid w:val="003442E3"/>
    <w:rsid w:val="003445F8"/>
    <w:rsid w:val="00344C21"/>
    <w:rsid w:val="003451C3"/>
    <w:rsid w:val="003453D8"/>
    <w:rsid w:val="00345AB9"/>
    <w:rsid w:val="00345E58"/>
    <w:rsid w:val="0034610E"/>
    <w:rsid w:val="0034662D"/>
    <w:rsid w:val="00346905"/>
    <w:rsid w:val="003469E2"/>
    <w:rsid w:val="00346AA3"/>
    <w:rsid w:val="00350B85"/>
    <w:rsid w:val="00352428"/>
    <w:rsid w:val="003529CE"/>
    <w:rsid w:val="00352B3A"/>
    <w:rsid w:val="00352D37"/>
    <w:rsid w:val="00352F1A"/>
    <w:rsid w:val="003530BA"/>
    <w:rsid w:val="0035325A"/>
    <w:rsid w:val="0035404B"/>
    <w:rsid w:val="0035448D"/>
    <w:rsid w:val="003544F3"/>
    <w:rsid w:val="00355034"/>
    <w:rsid w:val="00355ADE"/>
    <w:rsid w:val="00355F95"/>
    <w:rsid w:val="00356010"/>
    <w:rsid w:val="00356117"/>
    <w:rsid w:val="00356852"/>
    <w:rsid w:val="00357292"/>
    <w:rsid w:val="00357705"/>
    <w:rsid w:val="003600E8"/>
    <w:rsid w:val="00360837"/>
    <w:rsid w:val="00361412"/>
    <w:rsid w:val="00361BBC"/>
    <w:rsid w:val="00361BE3"/>
    <w:rsid w:val="0036248F"/>
    <w:rsid w:val="00362B42"/>
    <w:rsid w:val="00363ACB"/>
    <w:rsid w:val="00364232"/>
    <w:rsid w:val="00364FC3"/>
    <w:rsid w:val="00366166"/>
    <w:rsid w:val="00366EC0"/>
    <w:rsid w:val="00370334"/>
    <w:rsid w:val="003707AA"/>
    <w:rsid w:val="003710FD"/>
    <w:rsid w:val="00372EF7"/>
    <w:rsid w:val="00373100"/>
    <w:rsid w:val="00373D3F"/>
    <w:rsid w:val="0037521C"/>
    <w:rsid w:val="00375238"/>
    <w:rsid w:val="003757C1"/>
    <w:rsid w:val="00375C36"/>
    <w:rsid w:val="00375EAF"/>
    <w:rsid w:val="00376BDF"/>
    <w:rsid w:val="00376D75"/>
    <w:rsid w:val="00376DF1"/>
    <w:rsid w:val="00376F48"/>
    <w:rsid w:val="003770F5"/>
    <w:rsid w:val="0037770E"/>
    <w:rsid w:val="00377710"/>
    <w:rsid w:val="00377F4D"/>
    <w:rsid w:val="00380761"/>
    <w:rsid w:val="00380C7E"/>
    <w:rsid w:val="00380D85"/>
    <w:rsid w:val="003810A5"/>
    <w:rsid w:val="00381ED8"/>
    <w:rsid w:val="0038239B"/>
    <w:rsid w:val="00382D13"/>
    <w:rsid w:val="00383056"/>
    <w:rsid w:val="003832F3"/>
    <w:rsid w:val="003835D8"/>
    <w:rsid w:val="00383E75"/>
    <w:rsid w:val="00385245"/>
    <w:rsid w:val="00385574"/>
    <w:rsid w:val="00385C12"/>
    <w:rsid w:val="003871D4"/>
    <w:rsid w:val="00387357"/>
    <w:rsid w:val="003874D9"/>
    <w:rsid w:val="003875C7"/>
    <w:rsid w:val="003875E4"/>
    <w:rsid w:val="00387F81"/>
    <w:rsid w:val="00390359"/>
    <w:rsid w:val="0039042F"/>
    <w:rsid w:val="00390BF1"/>
    <w:rsid w:val="00391664"/>
    <w:rsid w:val="003919E1"/>
    <w:rsid w:val="00392AA7"/>
    <w:rsid w:val="00393626"/>
    <w:rsid w:val="003940EF"/>
    <w:rsid w:val="003940FD"/>
    <w:rsid w:val="003947F6"/>
    <w:rsid w:val="0039487D"/>
    <w:rsid w:val="003948D7"/>
    <w:rsid w:val="0039495C"/>
    <w:rsid w:val="00394D40"/>
    <w:rsid w:val="00395245"/>
    <w:rsid w:val="003955AE"/>
    <w:rsid w:val="0039572B"/>
    <w:rsid w:val="00395949"/>
    <w:rsid w:val="00395A05"/>
    <w:rsid w:val="00395A5D"/>
    <w:rsid w:val="0039674A"/>
    <w:rsid w:val="00396E5B"/>
    <w:rsid w:val="003A0161"/>
    <w:rsid w:val="003A0B6D"/>
    <w:rsid w:val="003A1971"/>
    <w:rsid w:val="003A1A57"/>
    <w:rsid w:val="003A2166"/>
    <w:rsid w:val="003A2A45"/>
    <w:rsid w:val="003A3EF4"/>
    <w:rsid w:val="003A41FE"/>
    <w:rsid w:val="003A45ED"/>
    <w:rsid w:val="003A4698"/>
    <w:rsid w:val="003A480B"/>
    <w:rsid w:val="003A5315"/>
    <w:rsid w:val="003A5A48"/>
    <w:rsid w:val="003A5CD3"/>
    <w:rsid w:val="003A5FBB"/>
    <w:rsid w:val="003A6280"/>
    <w:rsid w:val="003A7133"/>
    <w:rsid w:val="003A7858"/>
    <w:rsid w:val="003A7FFD"/>
    <w:rsid w:val="003B0FF1"/>
    <w:rsid w:val="003B10F5"/>
    <w:rsid w:val="003B177C"/>
    <w:rsid w:val="003B227F"/>
    <w:rsid w:val="003B3370"/>
    <w:rsid w:val="003B3876"/>
    <w:rsid w:val="003B4819"/>
    <w:rsid w:val="003B58E4"/>
    <w:rsid w:val="003B5C53"/>
    <w:rsid w:val="003B650A"/>
    <w:rsid w:val="003B7229"/>
    <w:rsid w:val="003B7519"/>
    <w:rsid w:val="003C026D"/>
    <w:rsid w:val="003C03E2"/>
    <w:rsid w:val="003C07FC"/>
    <w:rsid w:val="003C0EA7"/>
    <w:rsid w:val="003C101E"/>
    <w:rsid w:val="003C1D92"/>
    <w:rsid w:val="003C1F1C"/>
    <w:rsid w:val="003C1FA5"/>
    <w:rsid w:val="003C2056"/>
    <w:rsid w:val="003C2110"/>
    <w:rsid w:val="003C30C4"/>
    <w:rsid w:val="003C3C3D"/>
    <w:rsid w:val="003C3FC9"/>
    <w:rsid w:val="003C4480"/>
    <w:rsid w:val="003C4E96"/>
    <w:rsid w:val="003C5C2B"/>
    <w:rsid w:val="003C5D15"/>
    <w:rsid w:val="003C5E10"/>
    <w:rsid w:val="003C672C"/>
    <w:rsid w:val="003C6B23"/>
    <w:rsid w:val="003C6F40"/>
    <w:rsid w:val="003D001D"/>
    <w:rsid w:val="003D071C"/>
    <w:rsid w:val="003D1201"/>
    <w:rsid w:val="003D1395"/>
    <w:rsid w:val="003D1463"/>
    <w:rsid w:val="003D169B"/>
    <w:rsid w:val="003D39B2"/>
    <w:rsid w:val="003D40EB"/>
    <w:rsid w:val="003D480E"/>
    <w:rsid w:val="003D4987"/>
    <w:rsid w:val="003D4DAC"/>
    <w:rsid w:val="003D4E22"/>
    <w:rsid w:val="003D528A"/>
    <w:rsid w:val="003D63F2"/>
    <w:rsid w:val="003D6462"/>
    <w:rsid w:val="003D6906"/>
    <w:rsid w:val="003D6CB4"/>
    <w:rsid w:val="003D6DD5"/>
    <w:rsid w:val="003E0154"/>
    <w:rsid w:val="003E01D8"/>
    <w:rsid w:val="003E0437"/>
    <w:rsid w:val="003E179C"/>
    <w:rsid w:val="003E1F5E"/>
    <w:rsid w:val="003E1FD0"/>
    <w:rsid w:val="003E2228"/>
    <w:rsid w:val="003E25F0"/>
    <w:rsid w:val="003E30D2"/>
    <w:rsid w:val="003E340C"/>
    <w:rsid w:val="003E3744"/>
    <w:rsid w:val="003E46DD"/>
    <w:rsid w:val="003E5369"/>
    <w:rsid w:val="003E59F6"/>
    <w:rsid w:val="003E62F8"/>
    <w:rsid w:val="003E64A0"/>
    <w:rsid w:val="003E653D"/>
    <w:rsid w:val="003E6919"/>
    <w:rsid w:val="003E6E2F"/>
    <w:rsid w:val="003E742D"/>
    <w:rsid w:val="003E74B4"/>
    <w:rsid w:val="003E7661"/>
    <w:rsid w:val="003E7A48"/>
    <w:rsid w:val="003F0031"/>
    <w:rsid w:val="003F057F"/>
    <w:rsid w:val="003F06F7"/>
    <w:rsid w:val="003F147C"/>
    <w:rsid w:val="003F1695"/>
    <w:rsid w:val="003F16EF"/>
    <w:rsid w:val="003F17AB"/>
    <w:rsid w:val="003F244A"/>
    <w:rsid w:val="003F29FF"/>
    <w:rsid w:val="003F2C62"/>
    <w:rsid w:val="003F2F8A"/>
    <w:rsid w:val="003F3399"/>
    <w:rsid w:val="003F3423"/>
    <w:rsid w:val="003F37CA"/>
    <w:rsid w:val="003F38DF"/>
    <w:rsid w:val="003F48C9"/>
    <w:rsid w:val="003F4B79"/>
    <w:rsid w:val="003F5004"/>
    <w:rsid w:val="003F52BB"/>
    <w:rsid w:val="003F5AB6"/>
    <w:rsid w:val="003F5D91"/>
    <w:rsid w:val="003F62F7"/>
    <w:rsid w:val="00400007"/>
    <w:rsid w:val="00400D72"/>
    <w:rsid w:val="0040163C"/>
    <w:rsid w:val="004019C5"/>
    <w:rsid w:val="00401BE2"/>
    <w:rsid w:val="00403512"/>
    <w:rsid w:val="00404222"/>
    <w:rsid w:val="00405DA7"/>
    <w:rsid w:val="00406157"/>
    <w:rsid w:val="00407190"/>
    <w:rsid w:val="0040738E"/>
    <w:rsid w:val="004108AB"/>
    <w:rsid w:val="00410A89"/>
    <w:rsid w:val="0041176E"/>
    <w:rsid w:val="004123B4"/>
    <w:rsid w:val="00412642"/>
    <w:rsid w:val="004133F8"/>
    <w:rsid w:val="0041381F"/>
    <w:rsid w:val="00413917"/>
    <w:rsid w:val="00413B39"/>
    <w:rsid w:val="00413F28"/>
    <w:rsid w:val="0041402D"/>
    <w:rsid w:val="00414B08"/>
    <w:rsid w:val="00415591"/>
    <w:rsid w:val="0041585F"/>
    <w:rsid w:val="00415F57"/>
    <w:rsid w:val="004167A5"/>
    <w:rsid w:val="004167B0"/>
    <w:rsid w:val="00416BED"/>
    <w:rsid w:val="00417863"/>
    <w:rsid w:val="00417891"/>
    <w:rsid w:val="004178D3"/>
    <w:rsid w:val="00417DF4"/>
    <w:rsid w:val="004207F1"/>
    <w:rsid w:val="00420E5A"/>
    <w:rsid w:val="0042167B"/>
    <w:rsid w:val="00421BAF"/>
    <w:rsid w:val="004221A2"/>
    <w:rsid w:val="00422E3B"/>
    <w:rsid w:val="004238B2"/>
    <w:rsid w:val="00423B3C"/>
    <w:rsid w:val="004252A1"/>
    <w:rsid w:val="00425CEF"/>
    <w:rsid w:val="00426036"/>
    <w:rsid w:val="004262F7"/>
    <w:rsid w:val="0042699D"/>
    <w:rsid w:val="00426BC8"/>
    <w:rsid w:val="004276C9"/>
    <w:rsid w:val="00427DDA"/>
    <w:rsid w:val="004300B7"/>
    <w:rsid w:val="004308EE"/>
    <w:rsid w:val="00430BF8"/>
    <w:rsid w:val="00430C94"/>
    <w:rsid w:val="00431B4B"/>
    <w:rsid w:val="00431D44"/>
    <w:rsid w:val="00431E07"/>
    <w:rsid w:val="004321F0"/>
    <w:rsid w:val="00432407"/>
    <w:rsid w:val="004324E0"/>
    <w:rsid w:val="00432C10"/>
    <w:rsid w:val="00432CF2"/>
    <w:rsid w:val="0043399F"/>
    <w:rsid w:val="00433AD3"/>
    <w:rsid w:val="004347C6"/>
    <w:rsid w:val="00434BA7"/>
    <w:rsid w:val="004351FD"/>
    <w:rsid w:val="00435244"/>
    <w:rsid w:val="0043750B"/>
    <w:rsid w:val="0043761D"/>
    <w:rsid w:val="00437ECF"/>
    <w:rsid w:val="0044001D"/>
    <w:rsid w:val="00440CE7"/>
    <w:rsid w:val="004410C3"/>
    <w:rsid w:val="00441D16"/>
    <w:rsid w:val="00441F71"/>
    <w:rsid w:val="00442577"/>
    <w:rsid w:val="00442BCC"/>
    <w:rsid w:val="00442BFC"/>
    <w:rsid w:val="00442C0B"/>
    <w:rsid w:val="00442C64"/>
    <w:rsid w:val="0044336C"/>
    <w:rsid w:val="00443846"/>
    <w:rsid w:val="00444730"/>
    <w:rsid w:val="004449B2"/>
    <w:rsid w:val="00445ADD"/>
    <w:rsid w:val="00445EF3"/>
    <w:rsid w:val="00446241"/>
    <w:rsid w:val="00446737"/>
    <w:rsid w:val="00446ABD"/>
    <w:rsid w:val="00446CA4"/>
    <w:rsid w:val="00446E7D"/>
    <w:rsid w:val="00447175"/>
    <w:rsid w:val="00447EB1"/>
    <w:rsid w:val="00450209"/>
    <w:rsid w:val="00450857"/>
    <w:rsid w:val="00450925"/>
    <w:rsid w:val="004513D5"/>
    <w:rsid w:val="00451E3B"/>
    <w:rsid w:val="00451F32"/>
    <w:rsid w:val="004528EE"/>
    <w:rsid w:val="00452A25"/>
    <w:rsid w:val="00452AAB"/>
    <w:rsid w:val="00452F40"/>
    <w:rsid w:val="00453541"/>
    <w:rsid w:val="00453EB2"/>
    <w:rsid w:val="00454F42"/>
    <w:rsid w:val="00455426"/>
    <w:rsid w:val="0045571E"/>
    <w:rsid w:val="00455A78"/>
    <w:rsid w:val="00455AE9"/>
    <w:rsid w:val="00455D53"/>
    <w:rsid w:val="004575AB"/>
    <w:rsid w:val="004575DC"/>
    <w:rsid w:val="00457A2F"/>
    <w:rsid w:val="00457EC0"/>
    <w:rsid w:val="00460A0C"/>
    <w:rsid w:val="00461040"/>
    <w:rsid w:val="0046110F"/>
    <w:rsid w:val="004612F8"/>
    <w:rsid w:val="00461444"/>
    <w:rsid w:val="00461706"/>
    <w:rsid w:val="00461E2B"/>
    <w:rsid w:val="0046241C"/>
    <w:rsid w:val="0046287C"/>
    <w:rsid w:val="004628B8"/>
    <w:rsid w:val="00462BF1"/>
    <w:rsid w:val="004631B8"/>
    <w:rsid w:val="00463B82"/>
    <w:rsid w:val="00463DD6"/>
    <w:rsid w:val="00465669"/>
    <w:rsid w:val="00465929"/>
    <w:rsid w:val="00465DC7"/>
    <w:rsid w:val="0046621F"/>
    <w:rsid w:val="004665C8"/>
    <w:rsid w:val="00470127"/>
    <w:rsid w:val="00470691"/>
    <w:rsid w:val="00470956"/>
    <w:rsid w:val="00470A18"/>
    <w:rsid w:val="00470A52"/>
    <w:rsid w:val="00470F6C"/>
    <w:rsid w:val="00471C7C"/>
    <w:rsid w:val="0047259C"/>
    <w:rsid w:val="004728EB"/>
    <w:rsid w:val="00473573"/>
    <w:rsid w:val="00473673"/>
    <w:rsid w:val="00473675"/>
    <w:rsid w:val="00473708"/>
    <w:rsid w:val="00473D0A"/>
    <w:rsid w:val="00475946"/>
    <w:rsid w:val="004760F2"/>
    <w:rsid w:val="00477AE8"/>
    <w:rsid w:val="00477AEE"/>
    <w:rsid w:val="0048082B"/>
    <w:rsid w:val="00480BDC"/>
    <w:rsid w:val="00480EC6"/>
    <w:rsid w:val="00480F90"/>
    <w:rsid w:val="0048123F"/>
    <w:rsid w:val="004817DE"/>
    <w:rsid w:val="00481F4C"/>
    <w:rsid w:val="00482A2A"/>
    <w:rsid w:val="00482E6A"/>
    <w:rsid w:val="00483136"/>
    <w:rsid w:val="0048324D"/>
    <w:rsid w:val="00483310"/>
    <w:rsid w:val="00483C49"/>
    <w:rsid w:val="0048491F"/>
    <w:rsid w:val="00484E8B"/>
    <w:rsid w:val="0048523A"/>
    <w:rsid w:val="00486C57"/>
    <w:rsid w:val="00487FF7"/>
    <w:rsid w:val="0049144B"/>
    <w:rsid w:val="00491E93"/>
    <w:rsid w:val="00492CD9"/>
    <w:rsid w:val="00492D16"/>
    <w:rsid w:val="00492F48"/>
    <w:rsid w:val="00493587"/>
    <w:rsid w:val="00493AC9"/>
    <w:rsid w:val="0049433A"/>
    <w:rsid w:val="0049467A"/>
    <w:rsid w:val="00494BDD"/>
    <w:rsid w:val="00494D11"/>
    <w:rsid w:val="00494E43"/>
    <w:rsid w:val="004950E4"/>
    <w:rsid w:val="0049615F"/>
    <w:rsid w:val="004963AE"/>
    <w:rsid w:val="004963DE"/>
    <w:rsid w:val="00496680"/>
    <w:rsid w:val="00496FAA"/>
    <w:rsid w:val="00497448"/>
    <w:rsid w:val="004A0C4C"/>
    <w:rsid w:val="004A24DC"/>
    <w:rsid w:val="004A2605"/>
    <w:rsid w:val="004A293F"/>
    <w:rsid w:val="004A2C19"/>
    <w:rsid w:val="004A2E68"/>
    <w:rsid w:val="004A3452"/>
    <w:rsid w:val="004A3D0A"/>
    <w:rsid w:val="004A3DCA"/>
    <w:rsid w:val="004A4527"/>
    <w:rsid w:val="004A49DA"/>
    <w:rsid w:val="004A506B"/>
    <w:rsid w:val="004A5FE6"/>
    <w:rsid w:val="004A6BC3"/>
    <w:rsid w:val="004A7316"/>
    <w:rsid w:val="004A78B3"/>
    <w:rsid w:val="004A7977"/>
    <w:rsid w:val="004A7BC0"/>
    <w:rsid w:val="004A7D43"/>
    <w:rsid w:val="004B1055"/>
    <w:rsid w:val="004B109B"/>
    <w:rsid w:val="004B1B7D"/>
    <w:rsid w:val="004B25D6"/>
    <w:rsid w:val="004B29A3"/>
    <w:rsid w:val="004B2B87"/>
    <w:rsid w:val="004B4663"/>
    <w:rsid w:val="004B53E6"/>
    <w:rsid w:val="004B5448"/>
    <w:rsid w:val="004B60E2"/>
    <w:rsid w:val="004B6A29"/>
    <w:rsid w:val="004B77F4"/>
    <w:rsid w:val="004B798A"/>
    <w:rsid w:val="004C01DF"/>
    <w:rsid w:val="004C14CF"/>
    <w:rsid w:val="004C16A3"/>
    <w:rsid w:val="004C20B5"/>
    <w:rsid w:val="004C2417"/>
    <w:rsid w:val="004C2431"/>
    <w:rsid w:val="004C24B7"/>
    <w:rsid w:val="004C382A"/>
    <w:rsid w:val="004C3C33"/>
    <w:rsid w:val="004C49ED"/>
    <w:rsid w:val="004C4C45"/>
    <w:rsid w:val="004C5BDC"/>
    <w:rsid w:val="004C60DF"/>
    <w:rsid w:val="004C6989"/>
    <w:rsid w:val="004C6A9C"/>
    <w:rsid w:val="004C6E44"/>
    <w:rsid w:val="004C749C"/>
    <w:rsid w:val="004C7FB2"/>
    <w:rsid w:val="004D123F"/>
    <w:rsid w:val="004D1C75"/>
    <w:rsid w:val="004D1D52"/>
    <w:rsid w:val="004D2C16"/>
    <w:rsid w:val="004D3C23"/>
    <w:rsid w:val="004D3DFA"/>
    <w:rsid w:val="004D5AFC"/>
    <w:rsid w:val="004D6331"/>
    <w:rsid w:val="004D68AD"/>
    <w:rsid w:val="004D6975"/>
    <w:rsid w:val="004D69D3"/>
    <w:rsid w:val="004D7B64"/>
    <w:rsid w:val="004D7FDF"/>
    <w:rsid w:val="004E2939"/>
    <w:rsid w:val="004E2CCE"/>
    <w:rsid w:val="004E2F18"/>
    <w:rsid w:val="004E35CD"/>
    <w:rsid w:val="004E3DFC"/>
    <w:rsid w:val="004E45A5"/>
    <w:rsid w:val="004E5B4B"/>
    <w:rsid w:val="004E6305"/>
    <w:rsid w:val="004E65AC"/>
    <w:rsid w:val="004E6A4C"/>
    <w:rsid w:val="004E6E5E"/>
    <w:rsid w:val="004E7AA8"/>
    <w:rsid w:val="004F0C33"/>
    <w:rsid w:val="004F1E53"/>
    <w:rsid w:val="004F26A7"/>
    <w:rsid w:val="004F27DB"/>
    <w:rsid w:val="004F2812"/>
    <w:rsid w:val="004F2B5E"/>
    <w:rsid w:val="004F2C20"/>
    <w:rsid w:val="004F2DD6"/>
    <w:rsid w:val="004F4157"/>
    <w:rsid w:val="004F4822"/>
    <w:rsid w:val="004F4AFF"/>
    <w:rsid w:val="004F5367"/>
    <w:rsid w:val="004F75ED"/>
    <w:rsid w:val="005005D7"/>
    <w:rsid w:val="00500B02"/>
    <w:rsid w:val="005014B4"/>
    <w:rsid w:val="00503366"/>
    <w:rsid w:val="00503593"/>
    <w:rsid w:val="0050377D"/>
    <w:rsid w:val="00504706"/>
    <w:rsid w:val="00504FA4"/>
    <w:rsid w:val="00505114"/>
    <w:rsid w:val="00505C73"/>
    <w:rsid w:val="0050647A"/>
    <w:rsid w:val="00506AC5"/>
    <w:rsid w:val="0050766D"/>
    <w:rsid w:val="00507FEA"/>
    <w:rsid w:val="00510445"/>
    <w:rsid w:val="005107B6"/>
    <w:rsid w:val="0051192C"/>
    <w:rsid w:val="00512744"/>
    <w:rsid w:val="005138AF"/>
    <w:rsid w:val="00513AC0"/>
    <w:rsid w:val="00514361"/>
    <w:rsid w:val="005147F6"/>
    <w:rsid w:val="00514D6A"/>
    <w:rsid w:val="00515272"/>
    <w:rsid w:val="00515AAA"/>
    <w:rsid w:val="0051650E"/>
    <w:rsid w:val="0051716E"/>
    <w:rsid w:val="005174EE"/>
    <w:rsid w:val="00520080"/>
    <w:rsid w:val="005206EC"/>
    <w:rsid w:val="00520DEF"/>
    <w:rsid w:val="00520ECC"/>
    <w:rsid w:val="005224CA"/>
    <w:rsid w:val="00522AC0"/>
    <w:rsid w:val="00522BC1"/>
    <w:rsid w:val="005238E4"/>
    <w:rsid w:val="00523ADC"/>
    <w:rsid w:val="00523B43"/>
    <w:rsid w:val="00524562"/>
    <w:rsid w:val="0052479E"/>
    <w:rsid w:val="005248FB"/>
    <w:rsid w:val="00525B1B"/>
    <w:rsid w:val="00525F69"/>
    <w:rsid w:val="005261A0"/>
    <w:rsid w:val="00526383"/>
    <w:rsid w:val="00526462"/>
    <w:rsid w:val="00526681"/>
    <w:rsid w:val="00526ECD"/>
    <w:rsid w:val="005307C9"/>
    <w:rsid w:val="00530E17"/>
    <w:rsid w:val="00531085"/>
    <w:rsid w:val="005316F0"/>
    <w:rsid w:val="005321DD"/>
    <w:rsid w:val="0053247D"/>
    <w:rsid w:val="005324A1"/>
    <w:rsid w:val="00533055"/>
    <w:rsid w:val="0053487F"/>
    <w:rsid w:val="005348BE"/>
    <w:rsid w:val="00534B92"/>
    <w:rsid w:val="0053589D"/>
    <w:rsid w:val="00536185"/>
    <w:rsid w:val="005366EA"/>
    <w:rsid w:val="005369CB"/>
    <w:rsid w:val="005371C7"/>
    <w:rsid w:val="00537264"/>
    <w:rsid w:val="00537712"/>
    <w:rsid w:val="00537919"/>
    <w:rsid w:val="00537B83"/>
    <w:rsid w:val="00537D04"/>
    <w:rsid w:val="00540086"/>
    <w:rsid w:val="0054092D"/>
    <w:rsid w:val="00540E29"/>
    <w:rsid w:val="00541329"/>
    <w:rsid w:val="00541E41"/>
    <w:rsid w:val="005422D0"/>
    <w:rsid w:val="00542F43"/>
    <w:rsid w:val="005440D0"/>
    <w:rsid w:val="005444A5"/>
    <w:rsid w:val="0054473B"/>
    <w:rsid w:val="00544EA7"/>
    <w:rsid w:val="00544F4F"/>
    <w:rsid w:val="00546028"/>
    <w:rsid w:val="005460B5"/>
    <w:rsid w:val="00546A64"/>
    <w:rsid w:val="00546AAC"/>
    <w:rsid w:val="005507D0"/>
    <w:rsid w:val="00550B07"/>
    <w:rsid w:val="0055113C"/>
    <w:rsid w:val="00552014"/>
    <w:rsid w:val="00552255"/>
    <w:rsid w:val="00552A45"/>
    <w:rsid w:val="00553BC8"/>
    <w:rsid w:val="00553C13"/>
    <w:rsid w:val="005542B7"/>
    <w:rsid w:val="00554CE2"/>
    <w:rsid w:val="00555571"/>
    <w:rsid w:val="005556A8"/>
    <w:rsid w:val="00555F57"/>
    <w:rsid w:val="00556F38"/>
    <w:rsid w:val="00557399"/>
    <w:rsid w:val="005574C4"/>
    <w:rsid w:val="00557A6F"/>
    <w:rsid w:val="00557AE9"/>
    <w:rsid w:val="00557E97"/>
    <w:rsid w:val="005606F6"/>
    <w:rsid w:val="00560F8D"/>
    <w:rsid w:val="00561C68"/>
    <w:rsid w:val="0056217D"/>
    <w:rsid w:val="00562C4D"/>
    <w:rsid w:val="00563155"/>
    <w:rsid w:val="00563E4F"/>
    <w:rsid w:val="00564C30"/>
    <w:rsid w:val="00564EC9"/>
    <w:rsid w:val="00565204"/>
    <w:rsid w:val="00565773"/>
    <w:rsid w:val="0056577B"/>
    <w:rsid w:val="00565B8E"/>
    <w:rsid w:val="00566371"/>
    <w:rsid w:val="00566D04"/>
    <w:rsid w:val="00566E5E"/>
    <w:rsid w:val="00567347"/>
    <w:rsid w:val="0056738A"/>
    <w:rsid w:val="005673C8"/>
    <w:rsid w:val="00570117"/>
    <w:rsid w:val="00570681"/>
    <w:rsid w:val="0057179E"/>
    <w:rsid w:val="00571934"/>
    <w:rsid w:val="0057222E"/>
    <w:rsid w:val="00572E3E"/>
    <w:rsid w:val="0057408A"/>
    <w:rsid w:val="005746D5"/>
    <w:rsid w:val="005747BC"/>
    <w:rsid w:val="0057481D"/>
    <w:rsid w:val="00574873"/>
    <w:rsid w:val="005749CD"/>
    <w:rsid w:val="00574C6C"/>
    <w:rsid w:val="00574CD7"/>
    <w:rsid w:val="005760AF"/>
    <w:rsid w:val="005766E3"/>
    <w:rsid w:val="00576DE0"/>
    <w:rsid w:val="005774B9"/>
    <w:rsid w:val="005777D7"/>
    <w:rsid w:val="005805FD"/>
    <w:rsid w:val="005806CF"/>
    <w:rsid w:val="00580BD4"/>
    <w:rsid w:val="00581EB7"/>
    <w:rsid w:val="005820B5"/>
    <w:rsid w:val="00582CB0"/>
    <w:rsid w:val="00583A3A"/>
    <w:rsid w:val="00583B50"/>
    <w:rsid w:val="00583E9D"/>
    <w:rsid w:val="00583EB5"/>
    <w:rsid w:val="00583ED2"/>
    <w:rsid w:val="00584107"/>
    <w:rsid w:val="005861DC"/>
    <w:rsid w:val="005864B6"/>
    <w:rsid w:val="00586855"/>
    <w:rsid w:val="00586DEF"/>
    <w:rsid w:val="00587322"/>
    <w:rsid w:val="0058788A"/>
    <w:rsid w:val="00590689"/>
    <w:rsid w:val="00590A65"/>
    <w:rsid w:val="00590E78"/>
    <w:rsid w:val="00591022"/>
    <w:rsid w:val="0059106B"/>
    <w:rsid w:val="00594362"/>
    <w:rsid w:val="005952D2"/>
    <w:rsid w:val="005952F0"/>
    <w:rsid w:val="005957E2"/>
    <w:rsid w:val="00595899"/>
    <w:rsid w:val="00595E8D"/>
    <w:rsid w:val="005A0924"/>
    <w:rsid w:val="005A1890"/>
    <w:rsid w:val="005A19BE"/>
    <w:rsid w:val="005A21FE"/>
    <w:rsid w:val="005A225A"/>
    <w:rsid w:val="005A29FB"/>
    <w:rsid w:val="005A2B22"/>
    <w:rsid w:val="005A3AD5"/>
    <w:rsid w:val="005A4D2C"/>
    <w:rsid w:val="005A5088"/>
    <w:rsid w:val="005A55C5"/>
    <w:rsid w:val="005A55E1"/>
    <w:rsid w:val="005A5EB6"/>
    <w:rsid w:val="005A60F3"/>
    <w:rsid w:val="005A617E"/>
    <w:rsid w:val="005A6301"/>
    <w:rsid w:val="005A66D0"/>
    <w:rsid w:val="005A7999"/>
    <w:rsid w:val="005B01CA"/>
    <w:rsid w:val="005B1108"/>
    <w:rsid w:val="005B1D86"/>
    <w:rsid w:val="005B21D1"/>
    <w:rsid w:val="005B21EA"/>
    <w:rsid w:val="005B33D9"/>
    <w:rsid w:val="005B3AFD"/>
    <w:rsid w:val="005B3F58"/>
    <w:rsid w:val="005B4225"/>
    <w:rsid w:val="005B4274"/>
    <w:rsid w:val="005B44AE"/>
    <w:rsid w:val="005B57E4"/>
    <w:rsid w:val="005B5C84"/>
    <w:rsid w:val="005B6025"/>
    <w:rsid w:val="005B605D"/>
    <w:rsid w:val="005B65B4"/>
    <w:rsid w:val="005B683B"/>
    <w:rsid w:val="005B6D17"/>
    <w:rsid w:val="005B7195"/>
    <w:rsid w:val="005B7563"/>
    <w:rsid w:val="005B7729"/>
    <w:rsid w:val="005B7D0F"/>
    <w:rsid w:val="005C0B37"/>
    <w:rsid w:val="005C186B"/>
    <w:rsid w:val="005C1BF9"/>
    <w:rsid w:val="005C1F47"/>
    <w:rsid w:val="005C21B0"/>
    <w:rsid w:val="005C2D06"/>
    <w:rsid w:val="005C303C"/>
    <w:rsid w:val="005C3429"/>
    <w:rsid w:val="005C369B"/>
    <w:rsid w:val="005C36E3"/>
    <w:rsid w:val="005C4973"/>
    <w:rsid w:val="005C574A"/>
    <w:rsid w:val="005C58BA"/>
    <w:rsid w:val="005C5F1A"/>
    <w:rsid w:val="005C6157"/>
    <w:rsid w:val="005C6376"/>
    <w:rsid w:val="005C7A72"/>
    <w:rsid w:val="005D0378"/>
    <w:rsid w:val="005D12AC"/>
    <w:rsid w:val="005D1922"/>
    <w:rsid w:val="005D1BE3"/>
    <w:rsid w:val="005D1DA9"/>
    <w:rsid w:val="005D2385"/>
    <w:rsid w:val="005D2684"/>
    <w:rsid w:val="005D3044"/>
    <w:rsid w:val="005D368C"/>
    <w:rsid w:val="005D3724"/>
    <w:rsid w:val="005D3770"/>
    <w:rsid w:val="005D3C2D"/>
    <w:rsid w:val="005D5008"/>
    <w:rsid w:val="005D526B"/>
    <w:rsid w:val="005D53A8"/>
    <w:rsid w:val="005D5DE6"/>
    <w:rsid w:val="005D5F96"/>
    <w:rsid w:val="005D6132"/>
    <w:rsid w:val="005D69D9"/>
    <w:rsid w:val="005D6CB8"/>
    <w:rsid w:val="005D6F66"/>
    <w:rsid w:val="005D75DE"/>
    <w:rsid w:val="005D7E2A"/>
    <w:rsid w:val="005E0460"/>
    <w:rsid w:val="005E1BE3"/>
    <w:rsid w:val="005E2166"/>
    <w:rsid w:val="005E22FD"/>
    <w:rsid w:val="005E2EB4"/>
    <w:rsid w:val="005E3357"/>
    <w:rsid w:val="005E3728"/>
    <w:rsid w:val="005E3905"/>
    <w:rsid w:val="005E428F"/>
    <w:rsid w:val="005E43E5"/>
    <w:rsid w:val="005E4F01"/>
    <w:rsid w:val="005E515E"/>
    <w:rsid w:val="005E589A"/>
    <w:rsid w:val="005E5A0B"/>
    <w:rsid w:val="005E5ACE"/>
    <w:rsid w:val="005E5C74"/>
    <w:rsid w:val="005E5FD8"/>
    <w:rsid w:val="005E65BF"/>
    <w:rsid w:val="005E7644"/>
    <w:rsid w:val="005E7ABE"/>
    <w:rsid w:val="005F0A8D"/>
    <w:rsid w:val="005F0AE4"/>
    <w:rsid w:val="005F0E6B"/>
    <w:rsid w:val="005F128D"/>
    <w:rsid w:val="005F12B2"/>
    <w:rsid w:val="005F1615"/>
    <w:rsid w:val="005F16D5"/>
    <w:rsid w:val="005F1FB8"/>
    <w:rsid w:val="005F1FDF"/>
    <w:rsid w:val="005F27DE"/>
    <w:rsid w:val="005F294A"/>
    <w:rsid w:val="005F3226"/>
    <w:rsid w:val="005F359A"/>
    <w:rsid w:val="005F3846"/>
    <w:rsid w:val="005F47C2"/>
    <w:rsid w:val="005F4823"/>
    <w:rsid w:val="005F4C86"/>
    <w:rsid w:val="005F4DD4"/>
    <w:rsid w:val="005F5282"/>
    <w:rsid w:val="005F53E1"/>
    <w:rsid w:val="005F636F"/>
    <w:rsid w:val="005F7313"/>
    <w:rsid w:val="005F77C8"/>
    <w:rsid w:val="0060050B"/>
    <w:rsid w:val="00600807"/>
    <w:rsid w:val="00601D76"/>
    <w:rsid w:val="006021F6"/>
    <w:rsid w:val="0060322A"/>
    <w:rsid w:val="006033ED"/>
    <w:rsid w:val="006039E2"/>
    <w:rsid w:val="00604B08"/>
    <w:rsid w:val="00604C97"/>
    <w:rsid w:val="00604E74"/>
    <w:rsid w:val="00605201"/>
    <w:rsid w:val="006053A2"/>
    <w:rsid w:val="006057A7"/>
    <w:rsid w:val="0060673D"/>
    <w:rsid w:val="00606ECF"/>
    <w:rsid w:val="00606F66"/>
    <w:rsid w:val="00607653"/>
    <w:rsid w:val="006079DC"/>
    <w:rsid w:val="00610331"/>
    <w:rsid w:val="00610A06"/>
    <w:rsid w:val="006115A7"/>
    <w:rsid w:val="00611834"/>
    <w:rsid w:val="006119EC"/>
    <w:rsid w:val="00612245"/>
    <w:rsid w:val="006124EA"/>
    <w:rsid w:val="00612E10"/>
    <w:rsid w:val="00613463"/>
    <w:rsid w:val="00613B15"/>
    <w:rsid w:val="00615084"/>
    <w:rsid w:val="006150B3"/>
    <w:rsid w:val="00615357"/>
    <w:rsid w:val="0061572F"/>
    <w:rsid w:val="006160A7"/>
    <w:rsid w:val="00616269"/>
    <w:rsid w:val="00617E7C"/>
    <w:rsid w:val="00620191"/>
    <w:rsid w:val="0062175F"/>
    <w:rsid w:val="00621859"/>
    <w:rsid w:val="00621D9F"/>
    <w:rsid w:val="00622AF9"/>
    <w:rsid w:val="00622CC6"/>
    <w:rsid w:val="00622F64"/>
    <w:rsid w:val="00623477"/>
    <w:rsid w:val="006234F7"/>
    <w:rsid w:val="006240C2"/>
    <w:rsid w:val="00624152"/>
    <w:rsid w:val="006241B5"/>
    <w:rsid w:val="00624444"/>
    <w:rsid w:val="00624A73"/>
    <w:rsid w:val="0062560B"/>
    <w:rsid w:val="0062743D"/>
    <w:rsid w:val="00627623"/>
    <w:rsid w:val="00627808"/>
    <w:rsid w:val="0063020C"/>
    <w:rsid w:val="0063061D"/>
    <w:rsid w:val="00630A53"/>
    <w:rsid w:val="00631880"/>
    <w:rsid w:val="00632286"/>
    <w:rsid w:val="00632760"/>
    <w:rsid w:val="00633962"/>
    <w:rsid w:val="00633A14"/>
    <w:rsid w:val="00633EB2"/>
    <w:rsid w:val="006343A7"/>
    <w:rsid w:val="00634504"/>
    <w:rsid w:val="00634C1C"/>
    <w:rsid w:val="00634F4E"/>
    <w:rsid w:val="00635BD7"/>
    <w:rsid w:val="00635E4F"/>
    <w:rsid w:val="00636378"/>
    <w:rsid w:val="00636A40"/>
    <w:rsid w:val="00637A08"/>
    <w:rsid w:val="006407EC"/>
    <w:rsid w:val="0064098C"/>
    <w:rsid w:val="00640AE0"/>
    <w:rsid w:val="0064167A"/>
    <w:rsid w:val="0064198E"/>
    <w:rsid w:val="00641B96"/>
    <w:rsid w:val="0064231F"/>
    <w:rsid w:val="006432E9"/>
    <w:rsid w:val="006435A0"/>
    <w:rsid w:val="0064428E"/>
    <w:rsid w:val="00644F26"/>
    <w:rsid w:val="00645988"/>
    <w:rsid w:val="00645B3C"/>
    <w:rsid w:val="00645E99"/>
    <w:rsid w:val="00646C3C"/>
    <w:rsid w:val="0064712B"/>
    <w:rsid w:val="006471A3"/>
    <w:rsid w:val="00647A0C"/>
    <w:rsid w:val="00650BB7"/>
    <w:rsid w:val="00651FF8"/>
    <w:rsid w:val="00652C7F"/>
    <w:rsid w:val="006532E4"/>
    <w:rsid w:val="006535CA"/>
    <w:rsid w:val="006547A9"/>
    <w:rsid w:val="00654944"/>
    <w:rsid w:val="00656300"/>
    <w:rsid w:val="00656A2E"/>
    <w:rsid w:val="006578D7"/>
    <w:rsid w:val="006607E8"/>
    <w:rsid w:val="00660CFB"/>
    <w:rsid w:val="00660E57"/>
    <w:rsid w:val="00661860"/>
    <w:rsid w:val="006620A2"/>
    <w:rsid w:val="00662944"/>
    <w:rsid w:val="00662F77"/>
    <w:rsid w:val="00663E4D"/>
    <w:rsid w:val="00663FC1"/>
    <w:rsid w:val="006649D2"/>
    <w:rsid w:val="00664A34"/>
    <w:rsid w:val="00665587"/>
    <w:rsid w:val="00665A30"/>
    <w:rsid w:val="00665C60"/>
    <w:rsid w:val="006666BA"/>
    <w:rsid w:val="00666A3A"/>
    <w:rsid w:val="00666B1D"/>
    <w:rsid w:val="00666EC0"/>
    <w:rsid w:val="006670C7"/>
    <w:rsid w:val="00667B36"/>
    <w:rsid w:val="00667FB2"/>
    <w:rsid w:val="0067062F"/>
    <w:rsid w:val="00670675"/>
    <w:rsid w:val="00670D2F"/>
    <w:rsid w:val="0067151A"/>
    <w:rsid w:val="00671B82"/>
    <w:rsid w:val="00672C7A"/>
    <w:rsid w:val="00672F05"/>
    <w:rsid w:val="00673307"/>
    <w:rsid w:val="00673AF0"/>
    <w:rsid w:val="00673EAF"/>
    <w:rsid w:val="0067475A"/>
    <w:rsid w:val="00674B44"/>
    <w:rsid w:val="00674BA7"/>
    <w:rsid w:val="00676097"/>
    <w:rsid w:val="006762E0"/>
    <w:rsid w:val="006771EC"/>
    <w:rsid w:val="006775F8"/>
    <w:rsid w:val="006800DF"/>
    <w:rsid w:val="006808FB"/>
    <w:rsid w:val="006817B0"/>
    <w:rsid w:val="00681E9B"/>
    <w:rsid w:val="00682190"/>
    <w:rsid w:val="006822EB"/>
    <w:rsid w:val="0068275F"/>
    <w:rsid w:val="006827EE"/>
    <w:rsid w:val="00683B8C"/>
    <w:rsid w:val="00683C08"/>
    <w:rsid w:val="006847D8"/>
    <w:rsid w:val="00684893"/>
    <w:rsid w:val="00685793"/>
    <w:rsid w:val="00685D98"/>
    <w:rsid w:val="006870C7"/>
    <w:rsid w:val="00687122"/>
    <w:rsid w:val="006873A8"/>
    <w:rsid w:val="00690A5C"/>
    <w:rsid w:val="00690DED"/>
    <w:rsid w:val="006913CD"/>
    <w:rsid w:val="00691427"/>
    <w:rsid w:val="006914C0"/>
    <w:rsid w:val="00691764"/>
    <w:rsid w:val="006931C2"/>
    <w:rsid w:val="006932E3"/>
    <w:rsid w:val="00695221"/>
    <w:rsid w:val="006952D6"/>
    <w:rsid w:val="00695724"/>
    <w:rsid w:val="00697387"/>
    <w:rsid w:val="006A0FA6"/>
    <w:rsid w:val="006A111E"/>
    <w:rsid w:val="006A13C0"/>
    <w:rsid w:val="006A1E5C"/>
    <w:rsid w:val="006A2934"/>
    <w:rsid w:val="006A2A79"/>
    <w:rsid w:val="006A343A"/>
    <w:rsid w:val="006A3763"/>
    <w:rsid w:val="006A389D"/>
    <w:rsid w:val="006A42EC"/>
    <w:rsid w:val="006A4E43"/>
    <w:rsid w:val="006A51DC"/>
    <w:rsid w:val="006A6859"/>
    <w:rsid w:val="006A6C49"/>
    <w:rsid w:val="006A7043"/>
    <w:rsid w:val="006A79B5"/>
    <w:rsid w:val="006A7BE1"/>
    <w:rsid w:val="006B04FA"/>
    <w:rsid w:val="006B0854"/>
    <w:rsid w:val="006B0A07"/>
    <w:rsid w:val="006B2902"/>
    <w:rsid w:val="006B32F6"/>
    <w:rsid w:val="006B3940"/>
    <w:rsid w:val="006B41D3"/>
    <w:rsid w:val="006B46F4"/>
    <w:rsid w:val="006B4E57"/>
    <w:rsid w:val="006B530E"/>
    <w:rsid w:val="006B6590"/>
    <w:rsid w:val="006B67D6"/>
    <w:rsid w:val="006B7147"/>
    <w:rsid w:val="006B75CB"/>
    <w:rsid w:val="006B7EED"/>
    <w:rsid w:val="006C074A"/>
    <w:rsid w:val="006C0BE1"/>
    <w:rsid w:val="006C0E00"/>
    <w:rsid w:val="006C1CD6"/>
    <w:rsid w:val="006C1EB0"/>
    <w:rsid w:val="006C1FC1"/>
    <w:rsid w:val="006C2AF9"/>
    <w:rsid w:val="006C2FD6"/>
    <w:rsid w:val="006C2FF8"/>
    <w:rsid w:val="006C3542"/>
    <w:rsid w:val="006C3566"/>
    <w:rsid w:val="006C3968"/>
    <w:rsid w:val="006C3BE5"/>
    <w:rsid w:val="006C4298"/>
    <w:rsid w:val="006C48EA"/>
    <w:rsid w:val="006C4A9C"/>
    <w:rsid w:val="006C58FB"/>
    <w:rsid w:val="006C6063"/>
    <w:rsid w:val="006C6C92"/>
    <w:rsid w:val="006C6FD0"/>
    <w:rsid w:val="006C7028"/>
    <w:rsid w:val="006D07ED"/>
    <w:rsid w:val="006D093A"/>
    <w:rsid w:val="006D136E"/>
    <w:rsid w:val="006D14EB"/>
    <w:rsid w:val="006D1C0E"/>
    <w:rsid w:val="006D1E77"/>
    <w:rsid w:val="006D21E5"/>
    <w:rsid w:val="006D2A3A"/>
    <w:rsid w:val="006D2DC3"/>
    <w:rsid w:val="006D2F7C"/>
    <w:rsid w:val="006D31A5"/>
    <w:rsid w:val="006D35B4"/>
    <w:rsid w:val="006D454A"/>
    <w:rsid w:val="006D4DC9"/>
    <w:rsid w:val="006D58BF"/>
    <w:rsid w:val="006D5A51"/>
    <w:rsid w:val="006D5EBF"/>
    <w:rsid w:val="006D6B61"/>
    <w:rsid w:val="006D6BBC"/>
    <w:rsid w:val="006D6BD7"/>
    <w:rsid w:val="006D7EBF"/>
    <w:rsid w:val="006D7FA5"/>
    <w:rsid w:val="006E02AA"/>
    <w:rsid w:val="006E0FF2"/>
    <w:rsid w:val="006E1236"/>
    <w:rsid w:val="006E1CDA"/>
    <w:rsid w:val="006E2597"/>
    <w:rsid w:val="006E26E2"/>
    <w:rsid w:val="006E2C1A"/>
    <w:rsid w:val="006E2F06"/>
    <w:rsid w:val="006E381C"/>
    <w:rsid w:val="006E39B8"/>
    <w:rsid w:val="006E479A"/>
    <w:rsid w:val="006E493C"/>
    <w:rsid w:val="006E4D86"/>
    <w:rsid w:val="006E5F0A"/>
    <w:rsid w:val="006E622F"/>
    <w:rsid w:val="006E6F97"/>
    <w:rsid w:val="006E783D"/>
    <w:rsid w:val="006F17E8"/>
    <w:rsid w:val="006F2421"/>
    <w:rsid w:val="006F2F47"/>
    <w:rsid w:val="006F3072"/>
    <w:rsid w:val="006F3604"/>
    <w:rsid w:val="006F39B9"/>
    <w:rsid w:val="006F3EE9"/>
    <w:rsid w:val="006F40E4"/>
    <w:rsid w:val="006F47B9"/>
    <w:rsid w:val="006F4920"/>
    <w:rsid w:val="006F5081"/>
    <w:rsid w:val="006F5336"/>
    <w:rsid w:val="006F587F"/>
    <w:rsid w:val="006F5B1B"/>
    <w:rsid w:val="006F5E66"/>
    <w:rsid w:val="006F644F"/>
    <w:rsid w:val="006F6B7C"/>
    <w:rsid w:val="006F6D4D"/>
    <w:rsid w:val="006F7091"/>
    <w:rsid w:val="006F79E0"/>
    <w:rsid w:val="007003F4"/>
    <w:rsid w:val="00700425"/>
    <w:rsid w:val="00700784"/>
    <w:rsid w:val="00701838"/>
    <w:rsid w:val="00702738"/>
    <w:rsid w:val="00702EFF"/>
    <w:rsid w:val="00703140"/>
    <w:rsid w:val="00703319"/>
    <w:rsid w:val="00703CB3"/>
    <w:rsid w:val="00704219"/>
    <w:rsid w:val="00705432"/>
    <w:rsid w:val="00705D05"/>
    <w:rsid w:val="00706137"/>
    <w:rsid w:val="00706651"/>
    <w:rsid w:val="0070714E"/>
    <w:rsid w:val="00707530"/>
    <w:rsid w:val="0070760A"/>
    <w:rsid w:val="00707DC4"/>
    <w:rsid w:val="007108FF"/>
    <w:rsid w:val="00711894"/>
    <w:rsid w:val="0071195D"/>
    <w:rsid w:val="00712B68"/>
    <w:rsid w:val="00712D54"/>
    <w:rsid w:val="00713569"/>
    <w:rsid w:val="00713937"/>
    <w:rsid w:val="0071460F"/>
    <w:rsid w:val="00714D77"/>
    <w:rsid w:val="00714F10"/>
    <w:rsid w:val="00715E01"/>
    <w:rsid w:val="00716E63"/>
    <w:rsid w:val="007174A1"/>
    <w:rsid w:val="007202B0"/>
    <w:rsid w:val="007212C7"/>
    <w:rsid w:val="007214E6"/>
    <w:rsid w:val="00721BE0"/>
    <w:rsid w:val="00721D37"/>
    <w:rsid w:val="0072239A"/>
    <w:rsid w:val="007223E0"/>
    <w:rsid w:val="007226DC"/>
    <w:rsid w:val="00722805"/>
    <w:rsid w:val="00722BD0"/>
    <w:rsid w:val="00722D9D"/>
    <w:rsid w:val="00722F21"/>
    <w:rsid w:val="00722F70"/>
    <w:rsid w:val="00723210"/>
    <w:rsid w:val="0072378A"/>
    <w:rsid w:val="00723839"/>
    <w:rsid w:val="007243FD"/>
    <w:rsid w:val="0072470E"/>
    <w:rsid w:val="00724726"/>
    <w:rsid w:val="00724859"/>
    <w:rsid w:val="007252EB"/>
    <w:rsid w:val="007257C1"/>
    <w:rsid w:val="00726252"/>
    <w:rsid w:val="0072756C"/>
    <w:rsid w:val="00727873"/>
    <w:rsid w:val="0073082D"/>
    <w:rsid w:val="0073184D"/>
    <w:rsid w:val="00731C6C"/>
    <w:rsid w:val="007326DB"/>
    <w:rsid w:val="007332B1"/>
    <w:rsid w:val="007340D0"/>
    <w:rsid w:val="007343CD"/>
    <w:rsid w:val="007349FD"/>
    <w:rsid w:val="00735020"/>
    <w:rsid w:val="007355DF"/>
    <w:rsid w:val="00735FFA"/>
    <w:rsid w:val="007367C3"/>
    <w:rsid w:val="00736834"/>
    <w:rsid w:val="00736AA1"/>
    <w:rsid w:val="00736E03"/>
    <w:rsid w:val="007370BE"/>
    <w:rsid w:val="00737BBC"/>
    <w:rsid w:val="007411C3"/>
    <w:rsid w:val="0074182F"/>
    <w:rsid w:val="0074285C"/>
    <w:rsid w:val="00742BE8"/>
    <w:rsid w:val="007436DD"/>
    <w:rsid w:val="00743717"/>
    <w:rsid w:val="007447C7"/>
    <w:rsid w:val="007448D7"/>
    <w:rsid w:val="00744F8C"/>
    <w:rsid w:val="0074539C"/>
    <w:rsid w:val="00745BB8"/>
    <w:rsid w:val="00746739"/>
    <w:rsid w:val="0074690B"/>
    <w:rsid w:val="00746D22"/>
    <w:rsid w:val="00746D9A"/>
    <w:rsid w:val="00747227"/>
    <w:rsid w:val="00747621"/>
    <w:rsid w:val="00750630"/>
    <w:rsid w:val="007506EF"/>
    <w:rsid w:val="00750A9B"/>
    <w:rsid w:val="0075100C"/>
    <w:rsid w:val="00751010"/>
    <w:rsid w:val="00752C05"/>
    <w:rsid w:val="007541AD"/>
    <w:rsid w:val="0075467E"/>
    <w:rsid w:val="00757E02"/>
    <w:rsid w:val="00760370"/>
    <w:rsid w:val="00760B4D"/>
    <w:rsid w:val="00760D78"/>
    <w:rsid w:val="00761751"/>
    <w:rsid w:val="00761BE0"/>
    <w:rsid w:val="00762A58"/>
    <w:rsid w:val="00763AA5"/>
    <w:rsid w:val="00763E66"/>
    <w:rsid w:val="00763E76"/>
    <w:rsid w:val="007641BD"/>
    <w:rsid w:val="007658BE"/>
    <w:rsid w:val="00765949"/>
    <w:rsid w:val="00765B25"/>
    <w:rsid w:val="00766214"/>
    <w:rsid w:val="0076625D"/>
    <w:rsid w:val="007666BA"/>
    <w:rsid w:val="007672FC"/>
    <w:rsid w:val="007676C6"/>
    <w:rsid w:val="00767741"/>
    <w:rsid w:val="00770230"/>
    <w:rsid w:val="00770819"/>
    <w:rsid w:val="007708DE"/>
    <w:rsid w:val="00771C87"/>
    <w:rsid w:val="00771F65"/>
    <w:rsid w:val="007729D6"/>
    <w:rsid w:val="0077321A"/>
    <w:rsid w:val="00773B06"/>
    <w:rsid w:val="00773D10"/>
    <w:rsid w:val="00773D2B"/>
    <w:rsid w:val="00773EEA"/>
    <w:rsid w:val="007742C2"/>
    <w:rsid w:val="0077437B"/>
    <w:rsid w:val="00774E60"/>
    <w:rsid w:val="00774F83"/>
    <w:rsid w:val="0077501C"/>
    <w:rsid w:val="00777568"/>
    <w:rsid w:val="0077762F"/>
    <w:rsid w:val="0078041D"/>
    <w:rsid w:val="00780A16"/>
    <w:rsid w:val="00780C27"/>
    <w:rsid w:val="00780E4D"/>
    <w:rsid w:val="00781000"/>
    <w:rsid w:val="00782615"/>
    <w:rsid w:val="00782EE0"/>
    <w:rsid w:val="00783190"/>
    <w:rsid w:val="00783627"/>
    <w:rsid w:val="00784335"/>
    <w:rsid w:val="007855BD"/>
    <w:rsid w:val="00785B40"/>
    <w:rsid w:val="0078602E"/>
    <w:rsid w:val="00786102"/>
    <w:rsid w:val="0078665B"/>
    <w:rsid w:val="00787190"/>
    <w:rsid w:val="00790262"/>
    <w:rsid w:val="0079175E"/>
    <w:rsid w:val="00791C59"/>
    <w:rsid w:val="00792229"/>
    <w:rsid w:val="00792792"/>
    <w:rsid w:val="00792E24"/>
    <w:rsid w:val="0079306F"/>
    <w:rsid w:val="007931C5"/>
    <w:rsid w:val="00793245"/>
    <w:rsid w:val="00793442"/>
    <w:rsid w:val="00793828"/>
    <w:rsid w:val="00793AF7"/>
    <w:rsid w:val="00793DD7"/>
    <w:rsid w:val="007944AC"/>
    <w:rsid w:val="00795050"/>
    <w:rsid w:val="007952D7"/>
    <w:rsid w:val="007952DB"/>
    <w:rsid w:val="007953D5"/>
    <w:rsid w:val="007955C7"/>
    <w:rsid w:val="00797FC3"/>
    <w:rsid w:val="007A013E"/>
    <w:rsid w:val="007A0584"/>
    <w:rsid w:val="007A0FA7"/>
    <w:rsid w:val="007A1A9C"/>
    <w:rsid w:val="007A203B"/>
    <w:rsid w:val="007A39C8"/>
    <w:rsid w:val="007A3A3A"/>
    <w:rsid w:val="007A61D3"/>
    <w:rsid w:val="007A6640"/>
    <w:rsid w:val="007A6EB5"/>
    <w:rsid w:val="007A7578"/>
    <w:rsid w:val="007B01B5"/>
    <w:rsid w:val="007B1290"/>
    <w:rsid w:val="007B2D6D"/>
    <w:rsid w:val="007B2F08"/>
    <w:rsid w:val="007B3225"/>
    <w:rsid w:val="007B3401"/>
    <w:rsid w:val="007B3D3A"/>
    <w:rsid w:val="007B3F54"/>
    <w:rsid w:val="007B3FD6"/>
    <w:rsid w:val="007B43CF"/>
    <w:rsid w:val="007B4DE0"/>
    <w:rsid w:val="007B4E39"/>
    <w:rsid w:val="007B531F"/>
    <w:rsid w:val="007B58EC"/>
    <w:rsid w:val="007B60A9"/>
    <w:rsid w:val="007B617D"/>
    <w:rsid w:val="007B644B"/>
    <w:rsid w:val="007B6970"/>
    <w:rsid w:val="007B7046"/>
    <w:rsid w:val="007C0303"/>
    <w:rsid w:val="007C03BE"/>
    <w:rsid w:val="007C059D"/>
    <w:rsid w:val="007C0692"/>
    <w:rsid w:val="007C08C3"/>
    <w:rsid w:val="007C1003"/>
    <w:rsid w:val="007C1334"/>
    <w:rsid w:val="007C1958"/>
    <w:rsid w:val="007C23A5"/>
    <w:rsid w:val="007C28FE"/>
    <w:rsid w:val="007C3C68"/>
    <w:rsid w:val="007C455D"/>
    <w:rsid w:val="007C4B11"/>
    <w:rsid w:val="007C55B9"/>
    <w:rsid w:val="007C5CDB"/>
    <w:rsid w:val="007C5E54"/>
    <w:rsid w:val="007C6733"/>
    <w:rsid w:val="007C69FC"/>
    <w:rsid w:val="007D0961"/>
    <w:rsid w:val="007D1191"/>
    <w:rsid w:val="007D13A4"/>
    <w:rsid w:val="007D16AC"/>
    <w:rsid w:val="007D1984"/>
    <w:rsid w:val="007D1B0E"/>
    <w:rsid w:val="007D2128"/>
    <w:rsid w:val="007D2729"/>
    <w:rsid w:val="007D3548"/>
    <w:rsid w:val="007D3869"/>
    <w:rsid w:val="007D3BE5"/>
    <w:rsid w:val="007D417D"/>
    <w:rsid w:val="007D4AC2"/>
    <w:rsid w:val="007D5458"/>
    <w:rsid w:val="007D5F96"/>
    <w:rsid w:val="007D635A"/>
    <w:rsid w:val="007D6F76"/>
    <w:rsid w:val="007E0911"/>
    <w:rsid w:val="007E1475"/>
    <w:rsid w:val="007E2CE5"/>
    <w:rsid w:val="007E2E29"/>
    <w:rsid w:val="007E2E53"/>
    <w:rsid w:val="007E3077"/>
    <w:rsid w:val="007E43C1"/>
    <w:rsid w:val="007E443F"/>
    <w:rsid w:val="007E4A60"/>
    <w:rsid w:val="007E4EA5"/>
    <w:rsid w:val="007E5785"/>
    <w:rsid w:val="007E67B1"/>
    <w:rsid w:val="007E7224"/>
    <w:rsid w:val="007E72D2"/>
    <w:rsid w:val="007E74B7"/>
    <w:rsid w:val="007F0216"/>
    <w:rsid w:val="007F14A1"/>
    <w:rsid w:val="007F1DC5"/>
    <w:rsid w:val="007F2AFE"/>
    <w:rsid w:val="007F31FD"/>
    <w:rsid w:val="007F32E8"/>
    <w:rsid w:val="007F3E6D"/>
    <w:rsid w:val="007F455A"/>
    <w:rsid w:val="007F4A63"/>
    <w:rsid w:val="007F4D4F"/>
    <w:rsid w:val="007F51B7"/>
    <w:rsid w:val="007F5B64"/>
    <w:rsid w:val="007F6037"/>
    <w:rsid w:val="007F625D"/>
    <w:rsid w:val="007F69B1"/>
    <w:rsid w:val="007F6FFE"/>
    <w:rsid w:val="007F73F4"/>
    <w:rsid w:val="007F74A7"/>
    <w:rsid w:val="007F7601"/>
    <w:rsid w:val="007F7B46"/>
    <w:rsid w:val="007F7F47"/>
    <w:rsid w:val="00800715"/>
    <w:rsid w:val="00800B34"/>
    <w:rsid w:val="00800DAE"/>
    <w:rsid w:val="008019FC"/>
    <w:rsid w:val="00801AB3"/>
    <w:rsid w:val="00802350"/>
    <w:rsid w:val="00803424"/>
    <w:rsid w:val="00803611"/>
    <w:rsid w:val="008037F0"/>
    <w:rsid w:val="00803C39"/>
    <w:rsid w:val="00804512"/>
    <w:rsid w:val="0080460B"/>
    <w:rsid w:val="00804B52"/>
    <w:rsid w:val="008052C3"/>
    <w:rsid w:val="008055B9"/>
    <w:rsid w:val="00807427"/>
    <w:rsid w:val="00810460"/>
    <w:rsid w:val="00810714"/>
    <w:rsid w:val="00810C52"/>
    <w:rsid w:val="008118B8"/>
    <w:rsid w:val="00811985"/>
    <w:rsid w:val="00811C61"/>
    <w:rsid w:val="00811F22"/>
    <w:rsid w:val="00812967"/>
    <w:rsid w:val="00812C61"/>
    <w:rsid w:val="00814D3B"/>
    <w:rsid w:val="00815645"/>
    <w:rsid w:val="008162B2"/>
    <w:rsid w:val="00816C6C"/>
    <w:rsid w:val="008172E8"/>
    <w:rsid w:val="00817348"/>
    <w:rsid w:val="00817A57"/>
    <w:rsid w:val="00820479"/>
    <w:rsid w:val="00820530"/>
    <w:rsid w:val="00820709"/>
    <w:rsid w:val="00820EB5"/>
    <w:rsid w:val="008218D7"/>
    <w:rsid w:val="00821C6B"/>
    <w:rsid w:val="00821DFF"/>
    <w:rsid w:val="00821E4F"/>
    <w:rsid w:val="008221CC"/>
    <w:rsid w:val="00822979"/>
    <w:rsid w:val="00823F82"/>
    <w:rsid w:val="00824AC0"/>
    <w:rsid w:val="00824B02"/>
    <w:rsid w:val="008250AE"/>
    <w:rsid w:val="00825F24"/>
    <w:rsid w:val="00827449"/>
    <w:rsid w:val="008305AB"/>
    <w:rsid w:val="008306D8"/>
    <w:rsid w:val="00830CA4"/>
    <w:rsid w:val="00831592"/>
    <w:rsid w:val="0083186A"/>
    <w:rsid w:val="00831A71"/>
    <w:rsid w:val="00831D89"/>
    <w:rsid w:val="008324BF"/>
    <w:rsid w:val="00832BE4"/>
    <w:rsid w:val="00834529"/>
    <w:rsid w:val="00834611"/>
    <w:rsid w:val="00834792"/>
    <w:rsid w:val="008363E6"/>
    <w:rsid w:val="008364DB"/>
    <w:rsid w:val="0083732A"/>
    <w:rsid w:val="0084003D"/>
    <w:rsid w:val="0084010E"/>
    <w:rsid w:val="0084063B"/>
    <w:rsid w:val="0084099D"/>
    <w:rsid w:val="00840FC5"/>
    <w:rsid w:val="00842945"/>
    <w:rsid w:val="00842EFC"/>
    <w:rsid w:val="00843488"/>
    <w:rsid w:val="008435B4"/>
    <w:rsid w:val="00843779"/>
    <w:rsid w:val="008438D3"/>
    <w:rsid w:val="00844F6C"/>
    <w:rsid w:val="008451CF"/>
    <w:rsid w:val="00845D4E"/>
    <w:rsid w:val="00846446"/>
    <w:rsid w:val="00846488"/>
    <w:rsid w:val="0084652F"/>
    <w:rsid w:val="008465F6"/>
    <w:rsid w:val="00846E3B"/>
    <w:rsid w:val="00847C3B"/>
    <w:rsid w:val="00850201"/>
    <w:rsid w:val="008503A8"/>
    <w:rsid w:val="008506A7"/>
    <w:rsid w:val="00850B23"/>
    <w:rsid w:val="00850B65"/>
    <w:rsid w:val="00850FC4"/>
    <w:rsid w:val="0085102B"/>
    <w:rsid w:val="008514FA"/>
    <w:rsid w:val="0085216C"/>
    <w:rsid w:val="008526C6"/>
    <w:rsid w:val="00852DF6"/>
    <w:rsid w:val="0085373F"/>
    <w:rsid w:val="00854140"/>
    <w:rsid w:val="008542C4"/>
    <w:rsid w:val="0085453B"/>
    <w:rsid w:val="00854AF3"/>
    <w:rsid w:val="00854E65"/>
    <w:rsid w:val="0085507E"/>
    <w:rsid w:val="008554FA"/>
    <w:rsid w:val="008556D0"/>
    <w:rsid w:val="00855DD4"/>
    <w:rsid w:val="008569BA"/>
    <w:rsid w:val="0085734E"/>
    <w:rsid w:val="00860E1D"/>
    <w:rsid w:val="00860ED3"/>
    <w:rsid w:val="008619C1"/>
    <w:rsid w:val="00861EC3"/>
    <w:rsid w:val="0086241A"/>
    <w:rsid w:val="00862AB7"/>
    <w:rsid w:val="00863637"/>
    <w:rsid w:val="00863837"/>
    <w:rsid w:val="00863C1C"/>
    <w:rsid w:val="00863EF3"/>
    <w:rsid w:val="0086420E"/>
    <w:rsid w:val="00865DBB"/>
    <w:rsid w:val="00866037"/>
    <w:rsid w:val="008663A1"/>
    <w:rsid w:val="008665F0"/>
    <w:rsid w:val="00866DB1"/>
    <w:rsid w:val="00870B8B"/>
    <w:rsid w:val="00871176"/>
    <w:rsid w:val="00872039"/>
    <w:rsid w:val="0087280F"/>
    <w:rsid w:val="00873D05"/>
    <w:rsid w:val="008748C6"/>
    <w:rsid w:val="00874AA8"/>
    <w:rsid w:val="00874AD9"/>
    <w:rsid w:val="0087557D"/>
    <w:rsid w:val="008756C3"/>
    <w:rsid w:val="00875952"/>
    <w:rsid w:val="00875A17"/>
    <w:rsid w:val="008763C6"/>
    <w:rsid w:val="0087690D"/>
    <w:rsid w:val="00876E82"/>
    <w:rsid w:val="008778E2"/>
    <w:rsid w:val="00877F4D"/>
    <w:rsid w:val="0088083C"/>
    <w:rsid w:val="008809E2"/>
    <w:rsid w:val="008812F5"/>
    <w:rsid w:val="00883CD6"/>
    <w:rsid w:val="00884C56"/>
    <w:rsid w:val="008858A1"/>
    <w:rsid w:val="0088730B"/>
    <w:rsid w:val="008879EF"/>
    <w:rsid w:val="008900C6"/>
    <w:rsid w:val="00890280"/>
    <w:rsid w:val="00891493"/>
    <w:rsid w:val="00892725"/>
    <w:rsid w:val="00892B7A"/>
    <w:rsid w:val="00893074"/>
    <w:rsid w:val="008930DB"/>
    <w:rsid w:val="0089382B"/>
    <w:rsid w:val="00893A00"/>
    <w:rsid w:val="008941C9"/>
    <w:rsid w:val="00894C29"/>
    <w:rsid w:val="00894F34"/>
    <w:rsid w:val="00894F76"/>
    <w:rsid w:val="008950D4"/>
    <w:rsid w:val="0089583E"/>
    <w:rsid w:val="00895DF5"/>
    <w:rsid w:val="008961AD"/>
    <w:rsid w:val="00897DA2"/>
    <w:rsid w:val="008A0321"/>
    <w:rsid w:val="008A05A8"/>
    <w:rsid w:val="008A077A"/>
    <w:rsid w:val="008A0C6B"/>
    <w:rsid w:val="008A183D"/>
    <w:rsid w:val="008A210E"/>
    <w:rsid w:val="008A2388"/>
    <w:rsid w:val="008A2F4B"/>
    <w:rsid w:val="008A329E"/>
    <w:rsid w:val="008A38E7"/>
    <w:rsid w:val="008A3BBF"/>
    <w:rsid w:val="008A440D"/>
    <w:rsid w:val="008A4F3E"/>
    <w:rsid w:val="008A51B6"/>
    <w:rsid w:val="008A52AA"/>
    <w:rsid w:val="008A58B3"/>
    <w:rsid w:val="008A5BF6"/>
    <w:rsid w:val="008A62CB"/>
    <w:rsid w:val="008A65CA"/>
    <w:rsid w:val="008A769B"/>
    <w:rsid w:val="008A7AE6"/>
    <w:rsid w:val="008B0417"/>
    <w:rsid w:val="008B05A5"/>
    <w:rsid w:val="008B071C"/>
    <w:rsid w:val="008B07FB"/>
    <w:rsid w:val="008B0AFE"/>
    <w:rsid w:val="008B0C8D"/>
    <w:rsid w:val="008B1CE3"/>
    <w:rsid w:val="008B1F4F"/>
    <w:rsid w:val="008B286D"/>
    <w:rsid w:val="008B2EB1"/>
    <w:rsid w:val="008B2F88"/>
    <w:rsid w:val="008B3168"/>
    <w:rsid w:val="008B384D"/>
    <w:rsid w:val="008B4024"/>
    <w:rsid w:val="008B43CD"/>
    <w:rsid w:val="008B50F7"/>
    <w:rsid w:val="008B53AA"/>
    <w:rsid w:val="008B53F6"/>
    <w:rsid w:val="008B5A08"/>
    <w:rsid w:val="008B64BA"/>
    <w:rsid w:val="008B664E"/>
    <w:rsid w:val="008B6F27"/>
    <w:rsid w:val="008B728A"/>
    <w:rsid w:val="008B76B3"/>
    <w:rsid w:val="008C0328"/>
    <w:rsid w:val="008C04CE"/>
    <w:rsid w:val="008C0932"/>
    <w:rsid w:val="008C0EFE"/>
    <w:rsid w:val="008C1CBC"/>
    <w:rsid w:val="008C1F3F"/>
    <w:rsid w:val="008C2455"/>
    <w:rsid w:val="008C2C31"/>
    <w:rsid w:val="008C321C"/>
    <w:rsid w:val="008C35B5"/>
    <w:rsid w:val="008C3815"/>
    <w:rsid w:val="008C4128"/>
    <w:rsid w:val="008C43D2"/>
    <w:rsid w:val="008C509F"/>
    <w:rsid w:val="008C54F4"/>
    <w:rsid w:val="008C561D"/>
    <w:rsid w:val="008C5694"/>
    <w:rsid w:val="008C596A"/>
    <w:rsid w:val="008C7828"/>
    <w:rsid w:val="008D09E6"/>
    <w:rsid w:val="008D0AD2"/>
    <w:rsid w:val="008D0C30"/>
    <w:rsid w:val="008D16CA"/>
    <w:rsid w:val="008D257B"/>
    <w:rsid w:val="008D2E6D"/>
    <w:rsid w:val="008D2F40"/>
    <w:rsid w:val="008D39DC"/>
    <w:rsid w:val="008D426F"/>
    <w:rsid w:val="008D43F4"/>
    <w:rsid w:val="008D542E"/>
    <w:rsid w:val="008D6F5C"/>
    <w:rsid w:val="008D720F"/>
    <w:rsid w:val="008D780A"/>
    <w:rsid w:val="008D79E8"/>
    <w:rsid w:val="008E0BBA"/>
    <w:rsid w:val="008E114E"/>
    <w:rsid w:val="008E1948"/>
    <w:rsid w:val="008E1F88"/>
    <w:rsid w:val="008E28ED"/>
    <w:rsid w:val="008E2D49"/>
    <w:rsid w:val="008E301A"/>
    <w:rsid w:val="008E3669"/>
    <w:rsid w:val="008E3792"/>
    <w:rsid w:val="008E447D"/>
    <w:rsid w:val="008E488C"/>
    <w:rsid w:val="008E4959"/>
    <w:rsid w:val="008E498E"/>
    <w:rsid w:val="008E536B"/>
    <w:rsid w:val="008E5781"/>
    <w:rsid w:val="008E6B79"/>
    <w:rsid w:val="008E7162"/>
    <w:rsid w:val="008F1DB1"/>
    <w:rsid w:val="008F1F29"/>
    <w:rsid w:val="008F2010"/>
    <w:rsid w:val="008F269F"/>
    <w:rsid w:val="008F2A3C"/>
    <w:rsid w:val="008F3110"/>
    <w:rsid w:val="008F38FD"/>
    <w:rsid w:val="008F3A13"/>
    <w:rsid w:val="008F3AC2"/>
    <w:rsid w:val="008F3DA0"/>
    <w:rsid w:val="008F44FD"/>
    <w:rsid w:val="008F4768"/>
    <w:rsid w:val="008F476C"/>
    <w:rsid w:val="008F4F44"/>
    <w:rsid w:val="008F4FA2"/>
    <w:rsid w:val="008F5152"/>
    <w:rsid w:val="008F6619"/>
    <w:rsid w:val="008F6840"/>
    <w:rsid w:val="008F7148"/>
    <w:rsid w:val="008F719A"/>
    <w:rsid w:val="008F76BF"/>
    <w:rsid w:val="0090080D"/>
    <w:rsid w:val="00900EF7"/>
    <w:rsid w:val="009010F4"/>
    <w:rsid w:val="00901136"/>
    <w:rsid w:val="0090193E"/>
    <w:rsid w:val="009027A0"/>
    <w:rsid w:val="00902CA5"/>
    <w:rsid w:val="00903FA8"/>
    <w:rsid w:val="00904439"/>
    <w:rsid w:val="0090506A"/>
    <w:rsid w:val="00905272"/>
    <w:rsid w:val="009054A6"/>
    <w:rsid w:val="009056A0"/>
    <w:rsid w:val="0090592E"/>
    <w:rsid w:val="00905A84"/>
    <w:rsid w:val="00905AC0"/>
    <w:rsid w:val="00906850"/>
    <w:rsid w:val="0090758D"/>
    <w:rsid w:val="00907FBA"/>
    <w:rsid w:val="00910FAF"/>
    <w:rsid w:val="00911367"/>
    <w:rsid w:val="00911C59"/>
    <w:rsid w:val="009122D6"/>
    <w:rsid w:val="0091290E"/>
    <w:rsid w:val="00913263"/>
    <w:rsid w:val="00913AFA"/>
    <w:rsid w:val="00913D19"/>
    <w:rsid w:val="00914379"/>
    <w:rsid w:val="00914469"/>
    <w:rsid w:val="00914939"/>
    <w:rsid w:val="00914ED3"/>
    <w:rsid w:val="00915147"/>
    <w:rsid w:val="00915A58"/>
    <w:rsid w:val="00916E8F"/>
    <w:rsid w:val="009175DD"/>
    <w:rsid w:val="00917831"/>
    <w:rsid w:val="009202B5"/>
    <w:rsid w:val="009207B1"/>
    <w:rsid w:val="00920D68"/>
    <w:rsid w:val="00921365"/>
    <w:rsid w:val="00921A8D"/>
    <w:rsid w:val="00921D54"/>
    <w:rsid w:val="009225D1"/>
    <w:rsid w:val="00922D74"/>
    <w:rsid w:val="0092306D"/>
    <w:rsid w:val="009231A9"/>
    <w:rsid w:val="0092369B"/>
    <w:rsid w:val="00923F21"/>
    <w:rsid w:val="00924746"/>
    <w:rsid w:val="0092475C"/>
    <w:rsid w:val="00924AFD"/>
    <w:rsid w:val="00924D41"/>
    <w:rsid w:val="009252F0"/>
    <w:rsid w:val="00925F21"/>
    <w:rsid w:val="00926492"/>
    <w:rsid w:val="00926E7D"/>
    <w:rsid w:val="00926E90"/>
    <w:rsid w:val="009270EF"/>
    <w:rsid w:val="00927246"/>
    <w:rsid w:val="00927C9E"/>
    <w:rsid w:val="0093039B"/>
    <w:rsid w:val="00930C09"/>
    <w:rsid w:val="00932452"/>
    <w:rsid w:val="00932717"/>
    <w:rsid w:val="00933157"/>
    <w:rsid w:val="00933ED3"/>
    <w:rsid w:val="0093450B"/>
    <w:rsid w:val="00935EC1"/>
    <w:rsid w:val="0093714D"/>
    <w:rsid w:val="00937310"/>
    <w:rsid w:val="009379F0"/>
    <w:rsid w:val="009403FA"/>
    <w:rsid w:val="0094043D"/>
    <w:rsid w:val="009404C7"/>
    <w:rsid w:val="0094112E"/>
    <w:rsid w:val="00941342"/>
    <w:rsid w:val="009417C8"/>
    <w:rsid w:val="00942261"/>
    <w:rsid w:val="00943793"/>
    <w:rsid w:val="00943859"/>
    <w:rsid w:val="00943D3B"/>
    <w:rsid w:val="0094489E"/>
    <w:rsid w:val="009456C5"/>
    <w:rsid w:val="0094573A"/>
    <w:rsid w:val="00945EA8"/>
    <w:rsid w:val="00945EF8"/>
    <w:rsid w:val="009460B0"/>
    <w:rsid w:val="00946189"/>
    <w:rsid w:val="00946245"/>
    <w:rsid w:val="00946A14"/>
    <w:rsid w:val="00946CDA"/>
    <w:rsid w:val="00946CE6"/>
    <w:rsid w:val="00950279"/>
    <w:rsid w:val="00951277"/>
    <w:rsid w:val="00951946"/>
    <w:rsid w:val="00951E81"/>
    <w:rsid w:val="00952051"/>
    <w:rsid w:val="0095223A"/>
    <w:rsid w:val="009523EC"/>
    <w:rsid w:val="00952499"/>
    <w:rsid w:val="00952C90"/>
    <w:rsid w:val="00952FEA"/>
    <w:rsid w:val="009537E8"/>
    <w:rsid w:val="00953B4A"/>
    <w:rsid w:val="00953C22"/>
    <w:rsid w:val="00954AD7"/>
    <w:rsid w:val="00954C6A"/>
    <w:rsid w:val="00954F43"/>
    <w:rsid w:val="00955494"/>
    <w:rsid w:val="00956300"/>
    <w:rsid w:val="0095673E"/>
    <w:rsid w:val="00956CDD"/>
    <w:rsid w:val="009579AC"/>
    <w:rsid w:val="0096040F"/>
    <w:rsid w:val="0096055B"/>
    <w:rsid w:val="00960796"/>
    <w:rsid w:val="00960BE0"/>
    <w:rsid w:val="00961357"/>
    <w:rsid w:val="00962047"/>
    <w:rsid w:val="009623E6"/>
    <w:rsid w:val="00963070"/>
    <w:rsid w:val="00963EF3"/>
    <w:rsid w:val="00964215"/>
    <w:rsid w:val="009649CC"/>
    <w:rsid w:val="0096536E"/>
    <w:rsid w:val="00965669"/>
    <w:rsid w:val="00965F7C"/>
    <w:rsid w:val="0096632F"/>
    <w:rsid w:val="0096655C"/>
    <w:rsid w:val="0096789C"/>
    <w:rsid w:val="00967AF1"/>
    <w:rsid w:val="00967C26"/>
    <w:rsid w:val="00970350"/>
    <w:rsid w:val="00970613"/>
    <w:rsid w:val="00970FE9"/>
    <w:rsid w:val="0097132D"/>
    <w:rsid w:val="009718C5"/>
    <w:rsid w:val="00972457"/>
    <w:rsid w:val="00972511"/>
    <w:rsid w:val="00972DB7"/>
    <w:rsid w:val="00972F2D"/>
    <w:rsid w:val="0097346F"/>
    <w:rsid w:val="009734BC"/>
    <w:rsid w:val="00973806"/>
    <w:rsid w:val="00973FA5"/>
    <w:rsid w:val="00974458"/>
    <w:rsid w:val="00974507"/>
    <w:rsid w:val="00975727"/>
    <w:rsid w:val="0097612D"/>
    <w:rsid w:val="0097643B"/>
    <w:rsid w:val="0097673F"/>
    <w:rsid w:val="009776B5"/>
    <w:rsid w:val="00977BF7"/>
    <w:rsid w:val="00981C53"/>
    <w:rsid w:val="0098286D"/>
    <w:rsid w:val="00982A82"/>
    <w:rsid w:val="00984301"/>
    <w:rsid w:val="009843C7"/>
    <w:rsid w:val="009846D1"/>
    <w:rsid w:val="00985010"/>
    <w:rsid w:val="009853B2"/>
    <w:rsid w:val="0098550A"/>
    <w:rsid w:val="00985B11"/>
    <w:rsid w:val="00986024"/>
    <w:rsid w:val="00986212"/>
    <w:rsid w:val="00986D91"/>
    <w:rsid w:val="00987F95"/>
    <w:rsid w:val="00990120"/>
    <w:rsid w:val="00990FE7"/>
    <w:rsid w:val="0099119F"/>
    <w:rsid w:val="009913FF"/>
    <w:rsid w:val="00992C95"/>
    <w:rsid w:val="00994078"/>
    <w:rsid w:val="009942BE"/>
    <w:rsid w:val="00994F50"/>
    <w:rsid w:val="00995809"/>
    <w:rsid w:val="00995983"/>
    <w:rsid w:val="00995C1B"/>
    <w:rsid w:val="0099629A"/>
    <w:rsid w:val="009962BF"/>
    <w:rsid w:val="00996CB5"/>
    <w:rsid w:val="00996DBD"/>
    <w:rsid w:val="009A0CAE"/>
    <w:rsid w:val="009A13A9"/>
    <w:rsid w:val="009A1733"/>
    <w:rsid w:val="009A1B58"/>
    <w:rsid w:val="009A236B"/>
    <w:rsid w:val="009A23A0"/>
    <w:rsid w:val="009A276F"/>
    <w:rsid w:val="009A37B2"/>
    <w:rsid w:val="009A3D51"/>
    <w:rsid w:val="009A3FE0"/>
    <w:rsid w:val="009A40F7"/>
    <w:rsid w:val="009A44B2"/>
    <w:rsid w:val="009A473C"/>
    <w:rsid w:val="009A4877"/>
    <w:rsid w:val="009A4926"/>
    <w:rsid w:val="009A496F"/>
    <w:rsid w:val="009A4F2D"/>
    <w:rsid w:val="009A5BAC"/>
    <w:rsid w:val="009A5E2C"/>
    <w:rsid w:val="009A7CE1"/>
    <w:rsid w:val="009B067C"/>
    <w:rsid w:val="009B075C"/>
    <w:rsid w:val="009B0A49"/>
    <w:rsid w:val="009B0E81"/>
    <w:rsid w:val="009B2069"/>
    <w:rsid w:val="009B210F"/>
    <w:rsid w:val="009B22BD"/>
    <w:rsid w:val="009B2409"/>
    <w:rsid w:val="009B2677"/>
    <w:rsid w:val="009B2ECB"/>
    <w:rsid w:val="009B33D9"/>
    <w:rsid w:val="009B3998"/>
    <w:rsid w:val="009B3C7E"/>
    <w:rsid w:val="009B5098"/>
    <w:rsid w:val="009B6012"/>
    <w:rsid w:val="009B67D1"/>
    <w:rsid w:val="009B7135"/>
    <w:rsid w:val="009B7423"/>
    <w:rsid w:val="009B767A"/>
    <w:rsid w:val="009B7BE1"/>
    <w:rsid w:val="009C02CE"/>
    <w:rsid w:val="009C02EF"/>
    <w:rsid w:val="009C063E"/>
    <w:rsid w:val="009C1621"/>
    <w:rsid w:val="009C1E1F"/>
    <w:rsid w:val="009C291A"/>
    <w:rsid w:val="009C2C24"/>
    <w:rsid w:val="009C2ECD"/>
    <w:rsid w:val="009C326F"/>
    <w:rsid w:val="009C32F9"/>
    <w:rsid w:val="009C3F38"/>
    <w:rsid w:val="009C496E"/>
    <w:rsid w:val="009C719D"/>
    <w:rsid w:val="009C7CE9"/>
    <w:rsid w:val="009D00C6"/>
    <w:rsid w:val="009D0559"/>
    <w:rsid w:val="009D0C39"/>
    <w:rsid w:val="009D0FC7"/>
    <w:rsid w:val="009D10F7"/>
    <w:rsid w:val="009D128F"/>
    <w:rsid w:val="009D21CF"/>
    <w:rsid w:val="009D2513"/>
    <w:rsid w:val="009D26A7"/>
    <w:rsid w:val="009D2D65"/>
    <w:rsid w:val="009D3108"/>
    <w:rsid w:val="009D36ED"/>
    <w:rsid w:val="009D3FB9"/>
    <w:rsid w:val="009D3FCF"/>
    <w:rsid w:val="009D4679"/>
    <w:rsid w:val="009D4FF7"/>
    <w:rsid w:val="009D50A6"/>
    <w:rsid w:val="009D5423"/>
    <w:rsid w:val="009D542A"/>
    <w:rsid w:val="009D5595"/>
    <w:rsid w:val="009D5EF7"/>
    <w:rsid w:val="009D6ED3"/>
    <w:rsid w:val="009D73B5"/>
    <w:rsid w:val="009D74AD"/>
    <w:rsid w:val="009D786C"/>
    <w:rsid w:val="009E0A5F"/>
    <w:rsid w:val="009E0C69"/>
    <w:rsid w:val="009E1700"/>
    <w:rsid w:val="009E1E73"/>
    <w:rsid w:val="009E2148"/>
    <w:rsid w:val="009E2306"/>
    <w:rsid w:val="009E3423"/>
    <w:rsid w:val="009E3680"/>
    <w:rsid w:val="009E37D9"/>
    <w:rsid w:val="009E4A55"/>
    <w:rsid w:val="009E5FBD"/>
    <w:rsid w:val="009E6E13"/>
    <w:rsid w:val="009E756F"/>
    <w:rsid w:val="009E75F1"/>
    <w:rsid w:val="009E78D9"/>
    <w:rsid w:val="009F02DF"/>
    <w:rsid w:val="009F0E27"/>
    <w:rsid w:val="009F1152"/>
    <w:rsid w:val="009F11F8"/>
    <w:rsid w:val="009F13F0"/>
    <w:rsid w:val="009F18DD"/>
    <w:rsid w:val="009F18FF"/>
    <w:rsid w:val="009F1DE3"/>
    <w:rsid w:val="009F1FD4"/>
    <w:rsid w:val="009F39E3"/>
    <w:rsid w:val="009F3B8D"/>
    <w:rsid w:val="009F4CC9"/>
    <w:rsid w:val="009F513D"/>
    <w:rsid w:val="009F5647"/>
    <w:rsid w:val="009F6659"/>
    <w:rsid w:val="009F674F"/>
    <w:rsid w:val="009F74E0"/>
    <w:rsid w:val="009F7574"/>
    <w:rsid w:val="009F7E6E"/>
    <w:rsid w:val="00A001AE"/>
    <w:rsid w:val="00A00255"/>
    <w:rsid w:val="00A00353"/>
    <w:rsid w:val="00A01512"/>
    <w:rsid w:val="00A01855"/>
    <w:rsid w:val="00A02010"/>
    <w:rsid w:val="00A03A06"/>
    <w:rsid w:val="00A053FE"/>
    <w:rsid w:val="00A0545D"/>
    <w:rsid w:val="00A056F0"/>
    <w:rsid w:val="00A0587B"/>
    <w:rsid w:val="00A05D2A"/>
    <w:rsid w:val="00A06342"/>
    <w:rsid w:val="00A065BC"/>
    <w:rsid w:val="00A06883"/>
    <w:rsid w:val="00A06D0E"/>
    <w:rsid w:val="00A073B3"/>
    <w:rsid w:val="00A0741B"/>
    <w:rsid w:val="00A079CF"/>
    <w:rsid w:val="00A07B18"/>
    <w:rsid w:val="00A07E28"/>
    <w:rsid w:val="00A10226"/>
    <w:rsid w:val="00A10238"/>
    <w:rsid w:val="00A10896"/>
    <w:rsid w:val="00A10BAC"/>
    <w:rsid w:val="00A10FFE"/>
    <w:rsid w:val="00A11D09"/>
    <w:rsid w:val="00A1258E"/>
    <w:rsid w:val="00A12F81"/>
    <w:rsid w:val="00A13667"/>
    <w:rsid w:val="00A13672"/>
    <w:rsid w:val="00A14088"/>
    <w:rsid w:val="00A14942"/>
    <w:rsid w:val="00A14A2B"/>
    <w:rsid w:val="00A14C61"/>
    <w:rsid w:val="00A150EE"/>
    <w:rsid w:val="00A15175"/>
    <w:rsid w:val="00A162F3"/>
    <w:rsid w:val="00A16577"/>
    <w:rsid w:val="00A16CAC"/>
    <w:rsid w:val="00A20291"/>
    <w:rsid w:val="00A20B5B"/>
    <w:rsid w:val="00A20C10"/>
    <w:rsid w:val="00A20D27"/>
    <w:rsid w:val="00A21209"/>
    <w:rsid w:val="00A21538"/>
    <w:rsid w:val="00A21BAA"/>
    <w:rsid w:val="00A220D0"/>
    <w:rsid w:val="00A222DB"/>
    <w:rsid w:val="00A2235A"/>
    <w:rsid w:val="00A229E0"/>
    <w:rsid w:val="00A22F9E"/>
    <w:rsid w:val="00A23D3E"/>
    <w:rsid w:val="00A247CB"/>
    <w:rsid w:val="00A24D24"/>
    <w:rsid w:val="00A24E71"/>
    <w:rsid w:val="00A25754"/>
    <w:rsid w:val="00A269B6"/>
    <w:rsid w:val="00A26C6A"/>
    <w:rsid w:val="00A2756C"/>
    <w:rsid w:val="00A276F1"/>
    <w:rsid w:val="00A3049C"/>
    <w:rsid w:val="00A307E5"/>
    <w:rsid w:val="00A307F3"/>
    <w:rsid w:val="00A309B6"/>
    <w:rsid w:val="00A32DE4"/>
    <w:rsid w:val="00A33335"/>
    <w:rsid w:val="00A33679"/>
    <w:rsid w:val="00A336D6"/>
    <w:rsid w:val="00A33AE4"/>
    <w:rsid w:val="00A349C5"/>
    <w:rsid w:val="00A35D21"/>
    <w:rsid w:val="00A360DA"/>
    <w:rsid w:val="00A36BA8"/>
    <w:rsid w:val="00A36D56"/>
    <w:rsid w:val="00A37110"/>
    <w:rsid w:val="00A379B4"/>
    <w:rsid w:val="00A40506"/>
    <w:rsid w:val="00A40817"/>
    <w:rsid w:val="00A41208"/>
    <w:rsid w:val="00A41A7C"/>
    <w:rsid w:val="00A41CAA"/>
    <w:rsid w:val="00A41D8F"/>
    <w:rsid w:val="00A429EA"/>
    <w:rsid w:val="00A42A65"/>
    <w:rsid w:val="00A43551"/>
    <w:rsid w:val="00A43918"/>
    <w:rsid w:val="00A43AE7"/>
    <w:rsid w:val="00A43E95"/>
    <w:rsid w:val="00A440D4"/>
    <w:rsid w:val="00A44706"/>
    <w:rsid w:val="00A44DE2"/>
    <w:rsid w:val="00A44ED1"/>
    <w:rsid w:val="00A45572"/>
    <w:rsid w:val="00A46379"/>
    <w:rsid w:val="00A4735A"/>
    <w:rsid w:val="00A47C2F"/>
    <w:rsid w:val="00A50B72"/>
    <w:rsid w:val="00A50D78"/>
    <w:rsid w:val="00A50E77"/>
    <w:rsid w:val="00A52B4E"/>
    <w:rsid w:val="00A531E4"/>
    <w:rsid w:val="00A53277"/>
    <w:rsid w:val="00A5386B"/>
    <w:rsid w:val="00A542FA"/>
    <w:rsid w:val="00A5499F"/>
    <w:rsid w:val="00A55906"/>
    <w:rsid w:val="00A560DF"/>
    <w:rsid w:val="00A563C3"/>
    <w:rsid w:val="00A56599"/>
    <w:rsid w:val="00A56B31"/>
    <w:rsid w:val="00A56E30"/>
    <w:rsid w:val="00A5723A"/>
    <w:rsid w:val="00A60C13"/>
    <w:rsid w:val="00A60C1A"/>
    <w:rsid w:val="00A618F4"/>
    <w:rsid w:val="00A61B86"/>
    <w:rsid w:val="00A62CCD"/>
    <w:rsid w:val="00A62E66"/>
    <w:rsid w:val="00A62F1A"/>
    <w:rsid w:val="00A63D17"/>
    <w:rsid w:val="00A6440C"/>
    <w:rsid w:val="00A6440F"/>
    <w:rsid w:val="00A6467F"/>
    <w:rsid w:val="00A64799"/>
    <w:rsid w:val="00A6488E"/>
    <w:rsid w:val="00A654E7"/>
    <w:rsid w:val="00A6555D"/>
    <w:rsid w:val="00A65565"/>
    <w:rsid w:val="00A65B5F"/>
    <w:rsid w:val="00A65C80"/>
    <w:rsid w:val="00A65D7A"/>
    <w:rsid w:val="00A67C80"/>
    <w:rsid w:val="00A70CD1"/>
    <w:rsid w:val="00A70DE9"/>
    <w:rsid w:val="00A70E83"/>
    <w:rsid w:val="00A71EF3"/>
    <w:rsid w:val="00A71FF4"/>
    <w:rsid w:val="00A72E4B"/>
    <w:rsid w:val="00A72F93"/>
    <w:rsid w:val="00A73E7F"/>
    <w:rsid w:val="00A7401C"/>
    <w:rsid w:val="00A7457F"/>
    <w:rsid w:val="00A74A6F"/>
    <w:rsid w:val="00A7585E"/>
    <w:rsid w:val="00A763F3"/>
    <w:rsid w:val="00A80292"/>
    <w:rsid w:val="00A81AA6"/>
    <w:rsid w:val="00A820EF"/>
    <w:rsid w:val="00A820F3"/>
    <w:rsid w:val="00A82206"/>
    <w:rsid w:val="00A82220"/>
    <w:rsid w:val="00A832EA"/>
    <w:rsid w:val="00A83772"/>
    <w:rsid w:val="00A83CD3"/>
    <w:rsid w:val="00A840A4"/>
    <w:rsid w:val="00A84239"/>
    <w:rsid w:val="00A84C4F"/>
    <w:rsid w:val="00A84D16"/>
    <w:rsid w:val="00A851A7"/>
    <w:rsid w:val="00A8687E"/>
    <w:rsid w:val="00A86E19"/>
    <w:rsid w:val="00A87C9C"/>
    <w:rsid w:val="00A87EAE"/>
    <w:rsid w:val="00A87F82"/>
    <w:rsid w:val="00A90B7E"/>
    <w:rsid w:val="00A91AA6"/>
    <w:rsid w:val="00A91BFA"/>
    <w:rsid w:val="00A92340"/>
    <w:rsid w:val="00A923A6"/>
    <w:rsid w:val="00A925DF"/>
    <w:rsid w:val="00A93BE4"/>
    <w:rsid w:val="00A942F2"/>
    <w:rsid w:val="00A948BC"/>
    <w:rsid w:val="00A95141"/>
    <w:rsid w:val="00A952B0"/>
    <w:rsid w:val="00A9617F"/>
    <w:rsid w:val="00A9640B"/>
    <w:rsid w:val="00A964EA"/>
    <w:rsid w:val="00AA00D4"/>
    <w:rsid w:val="00AA0259"/>
    <w:rsid w:val="00AA099C"/>
    <w:rsid w:val="00AA0F87"/>
    <w:rsid w:val="00AA0FB5"/>
    <w:rsid w:val="00AA14A4"/>
    <w:rsid w:val="00AA2B25"/>
    <w:rsid w:val="00AA2D67"/>
    <w:rsid w:val="00AA347E"/>
    <w:rsid w:val="00AA3988"/>
    <w:rsid w:val="00AA3CEC"/>
    <w:rsid w:val="00AA427F"/>
    <w:rsid w:val="00AA4933"/>
    <w:rsid w:val="00AA4BE2"/>
    <w:rsid w:val="00AA50F3"/>
    <w:rsid w:val="00AA525B"/>
    <w:rsid w:val="00AA6322"/>
    <w:rsid w:val="00AA670F"/>
    <w:rsid w:val="00AA6CB6"/>
    <w:rsid w:val="00AA7807"/>
    <w:rsid w:val="00AA792B"/>
    <w:rsid w:val="00AB0076"/>
    <w:rsid w:val="00AB00ED"/>
    <w:rsid w:val="00AB06FC"/>
    <w:rsid w:val="00AB09A8"/>
    <w:rsid w:val="00AB0AFA"/>
    <w:rsid w:val="00AB11A8"/>
    <w:rsid w:val="00AB1BD5"/>
    <w:rsid w:val="00AB1FA2"/>
    <w:rsid w:val="00AB301E"/>
    <w:rsid w:val="00AB3F48"/>
    <w:rsid w:val="00AB45B6"/>
    <w:rsid w:val="00AB4B7C"/>
    <w:rsid w:val="00AB5106"/>
    <w:rsid w:val="00AB5EB3"/>
    <w:rsid w:val="00AB67BD"/>
    <w:rsid w:val="00AB6CDD"/>
    <w:rsid w:val="00AB715B"/>
    <w:rsid w:val="00AB73FB"/>
    <w:rsid w:val="00AB75E9"/>
    <w:rsid w:val="00AB792E"/>
    <w:rsid w:val="00AC06BA"/>
    <w:rsid w:val="00AC08C6"/>
    <w:rsid w:val="00AC0C91"/>
    <w:rsid w:val="00AC149F"/>
    <w:rsid w:val="00AC185B"/>
    <w:rsid w:val="00AC2205"/>
    <w:rsid w:val="00AC3420"/>
    <w:rsid w:val="00AC358C"/>
    <w:rsid w:val="00AC3670"/>
    <w:rsid w:val="00AC4AC7"/>
    <w:rsid w:val="00AC52D2"/>
    <w:rsid w:val="00AC5B61"/>
    <w:rsid w:val="00AC63CF"/>
    <w:rsid w:val="00AC65DB"/>
    <w:rsid w:val="00AC6851"/>
    <w:rsid w:val="00AC6BBE"/>
    <w:rsid w:val="00AD0713"/>
    <w:rsid w:val="00AD0750"/>
    <w:rsid w:val="00AD07A8"/>
    <w:rsid w:val="00AD085D"/>
    <w:rsid w:val="00AD09DE"/>
    <w:rsid w:val="00AD10E5"/>
    <w:rsid w:val="00AD1A34"/>
    <w:rsid w:val="00AD1D8F"/>
    <w:rsid w:val="00AD1E83"/>
    <w:rsid w:val="00AD1FAC"/>
    <w:rsid w:val="00AD26A4"/>
    <w:rsid w:val="00AD26C4"/>
    <w:rsid w:val="00AD3C63"/>
    <w:rsid w:val="00AD3ED1"/>
    <w:rsid w:val="00AD40D4"/>
    <w:rsid w:val="00AD41A7"/>
    <w:rsid w:val="00AD470E"/>
    <w:rsid w:val="00AD48F6"/>
    <w:rsid w:val="00AD4D48"/>
    <w:rsid w:val="00AD54AD"/>
    <w:rsid w:val="00AD5575"/>
    <w:rsid w:val="00AD5D86"/>
    <w:rsid w:val="00AD6C8E"/>
    <w:rsid w:val="00AD74F1"/>
    <w:rsid w:val="00AD756E"/>
    <w:rsid w:val="00AD7CAF"/>
    <w:rsid w:val="00AE01F6"/>
    <w:rsid w:val="00AE0914"/>
    <w:rsid w:val="00AE0F83"/>
    <w:rsid w:val="00AE1330"/>
    <w:rsid w:val="00AE2282"/>
    <w:rsid w:val="00AE2A4D"/>
    <w:rsid w:val="00AE2B7C"/>
    <w:rsid w:val="00AE2C04"/>
    <w:rsid w:val="00AE2EBA"/>
    <w:rsid w:val="00AE3DBC"/>
    <w:rsid w:val="00AE4E09"/>
    <w:rsid w:val="00AE5D89"/>
    <w:rsid w:val="00AE6772"/>
    <w:rsid w:val="00AE69B1"/>
    <w:rsid w:val="00AE6A90"/>
    <w:rsid w:val="00AE6B51"/>
    <w:rsid w:val="00AE79BD"/>
    <w:rsid w:val="00AF00F6"/>
    <w:rsid w:val="00AF0201"/>
    <w:rsid w:val="00AF0A46"/>
    <w:rsid w:val="00AF1304"/>
    <w:rsid w:val="00AF1A1B"/>
    <w:rsid w:val="00AF1CF3"/>
    <w:rsid w:val="00AF1CF7"/>
    <w:rsid w:val="00AF1E9D"/>
    <w:rsid w:val="00AF21C4"/>
    <w:rsid w:val="00AF2E29"/>
    <w:rsid w:val="00AF3EEF"/>
    <w:rsid w:val="00AF4057"/>
    <w:rsid w:val="00AF46A9"/>
    <w:rsid w:val="00AF546B"/>
    <w:rsid w:val="00AF57A6"/>
    <w:rsid w:val="00AF5C2D"/>
    <w:rsid w:val="00AF61C4"/>
    <w:rsid w:val="00AF63B8"/>
    <w:rsid w:val="00AF6668"/>
    <w:rsid w:val="00AF66F6"/>
    <w:rsid w:val="00AF6CC2"/>
    <w:rsid w:val="00AF743C"/>
    <w:rsid w:val="00AF7C83"/>
    <w:rsid w:val="00B0054E"/>
    <w:rsid w:val="00B00B5F"/>
    <w:rsid w:val="00B00EE7"/>
    <w:rsid w:val="00B016A8"/>
    <w:rsid w:val="00B025DE"/>
    <w:rsid w:val="00B027E5"/>
    <w:rsid w:val="00B0290C"/>
    <w:rsid w:val="00B029B4"/>
    <w:rsid w:val="00B02E72"/>
    <w:rsid w:val="00B0397D"/>
    <w:rsid w:val="00B04190"/>
    <w:rsid w:val="00B043FA"/>
    <w:rsid w:val="00B04C25"/>
    <w:rsid w:val="00B04DB5"/>
    <w:rsid w:val="00B05262"/>
    <w:rsid w:val="00B0703A"/>
    <w:rsid w:val="00B0707F"/>
    <w:rsid w:val="00B0749D"/>
    <w:rsid w:val="00B0773D"/>
    <w:rsid w:val="00B07E6F"/>
    <w:rsid w:val="00B10488"/>
    <w:rsid w:val="00B105F6"/>
    <w:rsid w:val="00B10B27"/>
    <w:rsid w:val="00B10D38"/>
    <w:rsid w:val="00B11175"/>
    <w:rsid w:val="00B114CA"/>
    <w:rsid w:val="00B1166A"/>
    <w:rsid w:val="00B118B1"/>
    <w:rsid w:val="00B11BEC"/>
    <w:rsid w:val="00B1210A"/>
    <w:rsid w:val="00B12376"/>
    <w:rsid w:val="00B12A9A"/>
    <w:rsid w:val="00B136B6"/>
    <w:rsid w:val="00B13E3B"/>
    <w:rsid w:val="00B155AC"/>
    <w:rsid w:val="00B1573B"/>
    <w:rsid w:val="00B16931"/>
    <w:rsid w:val="00B16D21"/>
    <w:rsid w:val="00B16E7B"/>
    <w:rsid w:val="00B16FD6"/>
    <w:rsid w:val="00B17D23"/>
    <w:rsid w:val="00B2024A"/>
    <w:rsid w:val="00B20BED"/>
    <w:rsid w:val="00B22A4A"/>
    <w:rsid w:val="00B22C2D"/>
    <w:rsid w:val="00B23915"/>
    <w:rsid w:val="00B23B5D"/>
    <w:rsid w:val="00B23D32"/>
    <w:rsid w:val="00B2437D"/>
    <w:rsid w:val="00B253DB"/>
    <w:rsid w:val="00B25602"/>
    <w:rsid w:val="00B25F07"/>
    <w:rsid w:val="00B26506"/>
    <w:rsid w:val="00B2680B"/>
    <w:rsid w:val="00B2700A"/>
    <w:rsid w:val="00B273BC"/>
    <w:rsid w:val="00B2769D"/>
    <w:rsid w:val="00B27923"/>
    <w:rsid w:val="00B30D10"/>
    <w:rsid w:val="00B31BD1"/>
    <w:rsid w:val="00B31F29"/>
    <w:rsid w:val="00B32017"/>
    <w:rsid w:val="00B32359"/>
    <w:rsid w:val="00B32A24"/>
    <w:rsid w:val="00B3315D"/>
    <w:rsid w:val="00B347C8"/>
    <w:rsid w:val="00B34B26"/>
    <w:rsid w:val="00B3573A"/>
    <w:rsid w:val="00B358D3"/>
    <w:rsid w:val="00B35E0B"/>
    <w:rsid w:val="00B35F71"/>
    <w:rsid w:val="00B3623B"/>
    <w:rsid w:val="00B405B9"/>
    <w:rsid w:val="00B40C86"/>
    <w:rsid w:val="00B411C1"/>
    <w:rsid w:val="00B41222"/>
    <w:rsid w:val="00B41863"/>
    <w:rsid w:val="00B4208B"/>
    <w:rsid w:val="00B4261A"/>
    <w:rsid w:val="00B42978"/>
    <w:rsid w:val="00B42B79"/>
    <w:rsid w:val="00B42CC9"/>
    <w:rsid w:val="00B42D45"/>
    <w:rsid w:val="00B43024"/>
    <w:rsid w:val="00B43CAF"/>
    <w:rsid w:val="00B442F3"/>
    <w:rsid w:val="00B44404"/>
    <w:rsid w:val="00B4531D"/>
    <w:rsid w:val="00B45A28"/>
    <w:rsid w:val="00B464D0"/>
    <w:rsid w:val="00B467FD"/>
    <w:rsid w:val="00B4696B"/>
    <w:rsid w:val="00B46EA1"/>
    <w:rsid w:val="00B4787B"/>
    <w:rsid w:val="00B47BA9"/>
    <w:rsid w:val="00B50E35"/>
    <w:rsid w:val="00B52126"/>
    <w:rsid w:val="00B52383"/>
    <w:rsid w:val="00B5238D"/>
    <w:rsid w:val="00B52597"/>
    <w:rsid w:val="00B52B42"/>
    <w:rsid w:val="00B5344C"/>
    <w:rsid w:val="00B53799"/>
    <w:rsid w:val="00B53919"/>
    <w:rsid w:val="00B54A4D"/>
    <w:rsid w:val="00B5564E"/>
    <w:rsid w:val="00B55AA7"/>
    <w:rsid w:val="00B56017"/>
    <w:rsid w:val="00B56426"/>
    <w:rsid w:val="00B56750"/>
    <w:rsid w:val="00B56AF0"/>
    <w:rsid w:val="00B56BC4"/>
    <w:rsid w:val="00B56DC0"/>
    <w:rsid w:val="00B572BE"/>
    <w:rsid w:val="00B5746D"/>
    <w:rsid w:val="00B578A4"/>
    <w:rsid w:val="00B603B6"/>
    <w:rsid w:val="00B6040F"/>
    <w:rsid w:val="00B61008"/>
    <w:rsid w:val="00B6121F"/>
    <w:rsid w:val="00B6134C"/>
    <w:rsid w:val="00B61A4B"/>
    <w:rsid w:val="00B61B1F"/>
    <w:rsid w:val="00B61D69"/>
    <w:rsid w:val="00B61F59"/>
    <w:rsid w:val="00B6234D"/>
    <w:rsid w:val="00B6261B"/>
    <w:rsid w:val="00B62CB9"/>
    <w:rsid w:val="00B63917"/>
    <w:rsid w:val="00B645B4"/>
    <w:rsid w:val="00B6501C"/>
    <w:rsid w:val="00B66940"/>
    <w:rsid w:val="00B66D93"/>
    <w:rsid w:val="00B670F8"/>
    <w:rsid w:val="00B67131"/>
    <w:rsid w:val="00B6799F"/>
    <w:rsid w:val="00B700FE"/>
    <w:rsid w:val="00B70483"/>
    <w:rsid w:val="00B704D0"/>
    <w:rsid w:val="00B70924"/>
    <w:rsid w:val="00B7115C"/>
    <w:rsid w:val="00B71494"/>
    <w:rsid w:val="00B715EC"/>
    <w:rsid w:val="00B7162B"/>
    <w:rsid w:val="00B72BAA"/>
    <w:rsid w:val="00B72BD5"/>
    <w:rsid w:val="00B72DD3"/>
    <w:rsid w:val="00B72FBF"/>
    <w:rsid w:val="00B73263"/>
    <w:rsid w:val="00B73291"/>
    <w:rsid w:val="00B73365"/>
    <w:rsid w:val="00B735D1"/>
    <w:rsid w:val="00B73DEE"/>
    <w:rsid w:val="00B74CCF"/>
    <w:rsid w:val="00B74E2E"/>
    <w:rsid w:val="00B74FBF"/>
    <w:rsid w:val="00B75311"/>
    <w:rsid w:val="00B75508"/>
    <w:rsid w:val="00B7575A"/>
    <w:rsid w:val="00B765B5"/>
    <w:rsid w:val="00B76ECA"/>
    <w:rsid w:val="00B77BC4"/>
    <w:rsid w:val="00B808CE"/>
    <w:rsid w:val="00B80A0D"/>
    <w:rsid w:val="00B80E40"/>
    <w:rsid w:val="00B811DF"/>
    <w:rsid w:val="00B81508"/>
    <w:rsid w:val="00B816B7"/>
    <w:rsid w:val="00B81B62"/>
    <w:rsid w:val="00B81C2D"/>
    <w:rsid w:val="00B8317B"/>
    <w:rsid w:val="00B837C8"/>
    <w:rsid w:val="00B839A6"/>
    <w:rsid w:val="00B83BC7"/>
    <w:rsid w:val="00B83F43"/>
    <w:rsid w:val="00B84EC7"/>
    <w:rsid w:val="00B85702"/>
    <w:rsid w:val="00B869F7"/>
    <w:rsid w:val="00B86D2A"/>
    <w:rsid w:val="00B86EA2"/>
    <w:rsid w:val="00B87649"/>
    <w:rsid w:val="00B87A3E"/>
    <w:rsid w:val="00B900CD"/>
    <w:rsid w:val="00B90176"/>
    <w:rsid w:val="00B9065A"/>
    <w:rsid w:val="00B91130"/>
    <w:rsid w:val="00B91325"/>
    <w:rsid w:val="00B91B7D"/>
    <w:rsid w:val="00B93476"/>
    <w:rsid w:val="00B945F8"/>
    <w:rsid w:val="00B94CB5"/>
    <w:rsid w:val="00B95E6E"/>
    <w:rsid w:val="00B96BB5"/>
    <w:rsid w:val="00B96C5A"/>
    <w:rsid w:val="00B971E0"/>
    <w:rsid w:val="00B972D1"/>
    <w:rsid w:val="00B97E63"/>
    <w:rsid w:val="00BA04C7"/>
    <w:rsid w:val="00BA0F3C"/>
    <w:rsid w:val="00BA101B"/>
    <w:rsid w:val="00BA1104"/>
    <w:rsid w:val="00BA1F0C"/>
    <w:rsid w:val="00BA254C"/>
    <w:rsid w:val="00BA25C3"/>
    <w:rsid w:val="00BA32EA"/>
    <w:rsid w:val="00BA3946"/>
    <w:rsid w:val="00BA3A34"/>
    <w:rsid w:val="00BA3D13"/>
    <w:rsid w:val="00BA40F1"/>
    <w:rsid w:val="00BA4221"/>
    <w:rsid w:val="00BA54A5"/>
    <w:rsid w:val="00BA79A8"/>
    <w:rsid w:val="00BA79F9"/>
    <w:rsid w:val="00BB0512"/>
    <w:rsid w:val="00BB073D"/>
    <w:rsid w:val="00BB142F"/>
    <w:rsid w:val="00BB17CB"/>
    <w:rsid w:val="00BB203A"/>
    <w:rsid w:val="00BB245E"/>
    <w:rsid w:val="00BB271E"/>
    <w:rsid w:val="00BB2A3F"/>
    <w:rsid w:val="00BB2D6A"/>
    <w:rsid w:val="00BB3FC2"/>
    <w:rsid w:val="00BB5334"/>
    <w:rsid w:val="00BB5F27"/>
    <w:rsid w:val="00BB6449"/>
    <w:rsid w:val="00BB68B0"/>
    <w:rsid w:val="00BB68F5"/>
    <w:rsid w:val="00BB75B6"/>
    <w:rsid w:val="00BB7692"/>
    <w:rsid w:val="00BB7CB2"/>
    <w:rsid w:val="00BC071A"/>
    <w:rsid w:val="00BC07BC"/>
    <w:rsid w:val="00BC0D2B"/>
    <w:rsid w:val="00BC0F54"/>
    <w:rsid w:val="00BC1640"/>
    <w:rsid w:val="00BC2256"/>
    <w:rsid w:val="00BC26E9"/>
    <w:rsid w:val="00BC275F"/>
    <w:rsid w:val="00BC2943"/>
    <w:rsid w:val="00BC2A13"/>
    <w:rsid w:val="00BC2D7C"/>
    <w:rsid w:val="00BC3565"/>
    <w:rsid w:val="00BC3EEC"/>
    <w:rsid w:val="00BC5D09"/>
    <w:rsid w:val="00BC6B90"/>
    <w:rsid w:val="00BC7791"/>
    <w:rsid w:val="00BC78CE"/>
    <w:rsid w:val="00BC78DA"/>
    <w:rsid w:val="00BC7CA1"/>
    <w:rsid w:val="00BC7E9A"/>
    <w:rsid w:val="00BD059A"/>
    <w:rsid w:val="00BD0D92"/>
    <w:rsid w:val="00BD0DCC"/>
    <w:rsid w:val="00BD1632"/>
    <w:rsid w:val="00BD321C"/>
    <w:rsid w:val="00BD3471"/>
    <w:rsid w:val="00BD388B"/>
    <w:rsid w:val="00BD3DAE"/>
    <w:rsid w:val="00BD3EC9"/>
    <w:rsid w:val="00BD4683"/>
    <w:rsid w:val="00BD5854"/>
    <w:rsid w:val="00BD58DC"/>
    <w:rsid w:val="00BD59DD"/>
    <w:rsid w:val="00BD5B4E"/>
    <w:rsid w:val="00BD5DDC"/>
    <w:rsid w:val="00BD5FEF"/>
    <w:rsid w:val="00BD6154"/>
    <w:rsid w:val="00BD68B9"/>
    <w:rsid w:val="00BD6933"/>
    <w:rsid w:val="00BD74FE"/>
    <w:rsid w:val="00BD7B58"/>
    <w:rsid w:val="00BE0376"/>
    <w:rsid w:val="00BE187C"/>
    <w:rsid w:val="00BE2592"/>
    <w:rsid w:val="00BE25EB"/>
    <w:rsid w:val="00BE2CCD"/>
    <w:rsid w:val="00BE33F9"/>
    <w:rsid w:val="00BE42B6"/>
    <w:rsid w:val="00BE54DF"/>
    <w:rsid w:val="00BE569D"/>
    <w:rsid w:val="00BE67E9"/>
    <w:rsid w:val="00BE6DB8"/>
    <w:rsid w:val="00BE7339"/>
    <w:rsid w:val="00BF04B2"/>
    <w:rsid w:val="00BF0E2D"/>
    <w:rsid w:val="00BF0E5D"/>
    <w:rsid w:val="00BF217C"/>
    <w:rsid w:val="00BF2279"/>
    <w:rsid w:val="00BF271B"/>
    <w:rsid w:val="00BF27BB"/>
    <w:rsid w:val="00BF31C2"/>
    <w:rsid w:val="00BF32AF"/>
    <w:rsid w:val="00BF3394"/>
    <w:rsid w:val="00BF3F27"/>
    <w:rsid w:val="00BF4245"/>
    <w:rsid w:val="00BF4308"/>
    <w:rsid w:val="00BF4B5C"/>
    <w:rsid w:val="00BF4C3F"/>
    <w:rsid w:val="00BF4C4B"/>
    <w:rsid w:val="00BF51DF"/>
    <w:rsid w:val="00BF5969"/>
    <w:rsid w:val="00BF6E9E"/>
    <w:rsid w:val="00C00711"/>
    <w:rsid w:val="00C00976"/>
    <w:rsid w:val="00C01077"/>
    <w:rsid w:val="00C014AB"/>
    <w:rsid w:val="00C01FF6"/>
    <w:rsid w:val="00C02030"/>
    <w:rsid w:val="00C03943"/>
    <w:rsid w:val="00C03C79"/>
    <w:rsid w:val="00C03EB6"/>
    <w:rsid w:val="00C04BF8"/>
    <w:rsid w:val="00C04E21"/>
    <w:rsid w:val="00C0521B"/>
    <w:rsid w:val="00C053D3"/>
    <w:rsid w:val="00C05D00"/>
    <w:rsid w:val="00C0692C"/>
    <w:rsid w:val="00C06C87"/>
    <w:rsid w:val="00C07BE6"/>
    <w:rsid w:val="00C07E23"/>
    <w:rsid w:val="00C10008"/>
    <w:rsid w:val="00C10501"/>
    <w:rsid w:val="00C1055C"/>
    <w:rsid w:val="00C107C6"/>
    <w:rsid w:val="00C10CC6"/>
    <w:rsid w:val="00C10CF4"/>
    <w:rsid w:val="00C10EA2"/>
    <w:rsid w:val="00C11919"/>
    <w:rsid w:val="00C11DE7"/>
    <w:rsid w:val="00C126AE"/>
    <w:rsid w:val="00C12C39"/>
    <w:rsid w:val="00C135ED"/>
    <w:rsid w:val="00C13641"/>
    <w:rsid w:val="00C13EE7"/>
    <w:rsid w:val="00C14197"/>
    <w:rsid w:val="00C142C6"/>
    <w:rsid w:val="00C142F5"/>
    <w:rsid w:val="00C15787"/>
    <w:rsid w:val="00C15834"/>
    <w:rsid w:val="00C1697E"/>
    <w:rsid w:val="00C16C0B"/>
    <w:rsid w:val="00C1722F"/>
    <w:rsid w:val="00C2025B"/>
    <w:rsid w:val="00C2035C"/>
    <w:rsid w:val="00C20900"/>
    <w:rsid w:val="00C21650"/>
    <w:rsid w:val="00C21FAD"/>
    <w:rsid w:val="00C22B8D"/>
    <w:rsid w:val="00C23AF4"/>
    <w:rsid w:val="00C24665"/>
    <w:rsid w:val="00C247F6"/>
    <w:rsid w:val="00C26836"/>
    <w:rsid w:val="00C276B7"/>
    <w:rsid w:val="00C27A40"/>
    <w:rsid w:val="00C27A86"/>
    <w:rsid w:val="00C27D00"/>
    <w:rsid w:val="00C27F46"/>
    <w:rsid w:val="00C30152"/>
    <w:rsid w:val="00C303B7"/>
    <w:rsid w:val="00C3174E"/>
    <w:rsid w:val="00C31D9C"/>
    <w:rsid w:val="00C3219B"/>
    <w:rsid w:val="00C32B6B"/>
    <w:rsid w:val="00C34BC1"/>
    <w:rsid w:val="00C34E22"/>
    <w:rsid w:val="00C3613B"/>
    <w:rsid w:val="00C36284"/>
    <w:rsid w:val="00C36CF7"/>
    <w:rsid w:val="00C36CFE"/>
    <w:rsid w:val="00C36DCE"/>
    <w:rsid w:val="00C373C2"/>
    <w:rsid w:val="00C37478"/>
    <w:rsid w:val="00C41D75"/>
    <w:rsid w:val="00C425FF"/>
    <w:rsid w:val="00C4376A"/>
    <w:rsid w:val="00C4391B"/>
    <w:rsid w:val="00C43C23"/>
    <w:rsid w:val="00C43DCB"/>
    <w:rsid w:val="00C45397"/>
    <w:rsid w:val="00C45A5E"/>
    <w:rsid w:val="00C45EC2"/>
    <w:rsid w:val="00C46EF1"/>
    <w:rsid w:val="00C47089"/>
    <w:rsid w:val="00C47C24"/>
    <w:rsid w:val="00C47F36"/>
    <w:rsid w:val="00C501F9"/>
    <w:rsid w:val="00C52EB0"/>
    <w:rsid w:val="00C53F8F"/>
    <w:rsid w:val="00C54DE2"/>
    <w:rsid w:val="00C56024"/>
    <w:rsid w:val="00C56659"/>
    <w:rsid w:val="00C568CD"/>
    <w:rsid w:val="00C573AB"/>
    <w:rsid w:val="00C577D6"/>
    <w:rsid w:val="00C57B94"/>
    <w:rsid w:val="00C57D2F"/>
    <w:rsid w:val="00C57D7C"/>
    <w:rsid w:val="00C57DE6"/>
    <w:rsid w:val="00C57FBD"/>
    <w:rsid w:val="00C600D5"/>
    <w:rsid w:val="00C60F22"/>
    <w:rsid w:val="00C61507"/>
    <w:rsid w:val="00C61ED4"/>
    <w:rsid w:val="00C621B0"/>
    <w:rsid w:val="00C621FA"/>
    <w:rsid w:val="00C6282B"/>
    <w:rsid w:val="00C63127"/>
    <w:rsid w:val="00C64083"/>
    <w:rsid w:val="00C64603"/>
    <w:rsid w:val="00C64AFB"/>
    <w:rsid w:val="00C65105"/>
    <w:rsid w:val="00C652E9"/>
    <w:rsid w:val="00C665EB"/>
    <w:rsid w:val="00C66AB4"/>
    <w:rsid w:val="00C66BC5"/>
    <w:rsid w:val="00C672CE"/>
    <w:rsid w:val="00C706FC"/>
    <w:rsid w:val="00C71170"/>
    <w:rsid w:val="00C71197"/>
    <w:rsid w:val="00C71A58"/>
    <w:rsid w:val="00C71C6D"/>
    <w:rsid w:val="00C71DA7"/>
    <w:rsid w:val="00C71F66"/>
    <w:rsid w:val="00C742CE"/>
    <w:rsid w:val="00C74A67"/>
    <w:rsid w:val="00C761BE"/>
    <w:rsid w:val="00C764E3"/>
    <w:rsid w:val="00C76533"/>
    <w:rsid w:val="00C77651"/>
    <w:rsid w:val="00C80B49"/>
    <w:rsid w:val="00C81882"/>
    <w:rsid w:val="00C81968"/>
    <w:rsid w:val="00C81BBE"/>
    <w:rsid w:val="00C81C9D"/>
    <w:rsid w:val="00C83A51"/>
    <w:rsid w:val="00C844B1"/>
    <w:rsid w:val="00C849E9"/>
    <w:rsid w:val="00C84D40"/>
    <w:rsid w:val="00C85CA0"/>
    <w:rsid w:val="00C85F39"/>
    <w:rsid w:val="00C86F5D"/>
    <w:rsid w:val="00C8701E"/>
    <w:rsid w:val="00C870BD"/>
    <w:rsid w:val="00C877CF"/>
    <w:rsid w:val="00C87C35"/>
    <w:rsid w:val="00C87DEB"/>
    <w:rsid w:val="00C9029C"/>
    <w:rsid w:val="00C90380"/>
    <w:rsid w:val="00C905B3"/>
    <w:rsid w:val="00C90893"/>
    <w:rsid w:val="00C90B55"/>
    <w:rsid w:val="00C91310"/>
    <w:rsid w:val="00C91BBD"/>
    <w:rsid w:val="00C92699"/>
    <w:rsid w:val="00C93483"/>
    <w:rsid w:val="00C93558"/>
    <w:rsid w:val="00C937B0"/>
    <w:rsid w:val="00C94311"/>
    <w:rsid w:val="00C9433A"/>
    <w:rsid w:val="00C946BB"/>
    <w:rsid w:val="00C956B2"/>
    <w:rsid w:val="00C95E18"/>
    <w:rsid w:val="00C95F0D"/>
    <w:rsid w:val="00C960D5"/>
    <w:rsid w:val="00C961A3"/>
    <w:rsid w:val="00C967D6"/>
    <w:rsid w:val="00C972A5"/>
    <w:rsid w:val="00C977BE"/>
    <w:rsid w:val="00CA0146"/>
    <w:rsid w:val="00CA0243"/>
    <w:rsid w:val="00CA083A"/>
    <w:rsid w:val="00CA1AFF"/>
    <w:rsid w:val="00CA1C3F"/>
    <w:rsid w:val="00CA20DD"/>
    <w:rsid w:val="00CA3DD8"/>
    <w:rsid w:val="00CA3F53"/>
    <w:rsid w:val="00CA42B5"/>
    <w:rsid w:val="00CA44E3"/>
    <w:rsid w:val="00CA4BBC"/>
    <w:rsid w:val="00CA5224"/>
    <w:rsid w:val="00CA5682"/>
    <w:rsid w:val="00CA6C27"/>
    <w:rsid w:val="00CA70D8"/>
    <w:rsid w:val="00CA7532"/>
    <w:rsid w:val="00CB0570"/>
    <w:rsid w:val="00CB1D05"/>
    <w:rsid w:val="00CB23C1"/>
    <w:rsid w:val="00CB487C"/>
    <w:rsid w:val="00CB5110"/>
    <w:rsid w:val="00CB5122"/>
    <w:rsid w:val="00CB53FF"/>
    <w:rsid w:val="00CB60EA"/>
    <w:rsid w:val="00CB7A1B"/>
    <w:rsid w:val="00CC020D"/>
    <w:rsid w:val="00CC030F"/>
    <w:rsid w:val="00CC08FE"/>
    <w:rsid w:val="00CC0C84"/>
    <w:rsid w:val="00CC0DE4"/>
    <w:rsid w:val="00CC1231"/>
    <w:rsid w:val="00CC1652"/>
    <w:rsid w:val="00CC2227"/>
    <w:rsid w:val="00CC23F8"/>
    <w:rsid w:val="00CC291F"/>
    <w:rsid w:val="00CC2922"/>
    <w:rsid w:val="00CC31CD"/>
    <w:rsid w:val="00CC3805"/>
    <w:rsid w:val="00CC3B97"/>
    <w:rsid w:val="00CC4062"/>
    <w:rsid w:val="00CC46C6"/>
    <w:rsid w:val="00CC47FA"/>
    <w:rsid w:val="00CC4AA9"/>
    <w:rsid w:val="00CC5371"/>
    <w:rsid w:val="00CC58F6"/>
    <w:rsid w:val="00CC68D2"/>
    <w:rsid w:val="00CC7D8B"/>
    <w:rsid w:val="00CD05AC"/>
    <w:rsid w:val="00CD06BA"/>
    <w:rsid w:val="00CD0FC2"/>
    <w:rsid w:val="00CD14A9"/>
    <w:rsid w:val="00CD1972"/>
    <w:rsid w:val="00CD1B16"/>
    <w:rsid w:val="00CD3522"/>
    <w:rsid w:val="00CD3FCA"/>
    <w:rsid w:val="00CD4502"/>
    <w:rsid w:val="00CD4C36"/>
    <w:rsid w:val="00CD57F1"/>
    <w:rsid w:val="00CD5D14"/>
    <w:rsid w:val="00CD60CB"/>
    <w:rsid w:val="00CD6641"/>
    <w:rsid w:val="00CD688E"/>
    <w:rsid w:val="00CD7745"/>
    <w:rsid w:val="00CD7E75"/>
    <w:rsid w:val="00CE01A3"/>
    <w:rsid w:val="00CE0989"/>
    <w:rsid w:val="00CE10CA"/>
    <w:rsid w:val="00CE19EE"/>
    <w:rsid w:val="00CE201F"/>
    <w:rsid w:val="00CE21EB"/>
    <w:rsid w:val="00CE2709"/>
    <w:rsid w:val="00CE28E0"/>
    <w:rsid w:val="00CE2C79"/>
    <w:rsid w:val="00CE3080"/>
    <w:rsid w:val="00CE347B"/>
    <w:rsid w:val="00CE3A53"/>
    <w:rsid w:val="00CE438B"/>
    <w:rsid w:val="00CE4AA7"/>
    <w:rsid w:val="00CE4B91"/>
    <w:rsid w:val="00CE4E90"/>
    <w:rsid w:val="00CE579E"/>
    <w:rsid w:val="00CE6032"/>
    <w:rsid w:val="00CE6208"/>
    <w:rsid w:val="00CE72D2"/>
    <w:rsid w:val="00CF2858"/>
    <w:rsid w:val="00CF3C42"/>
    <w:rsid w:val="00CF4A1A"/>
    <w:rsid w:val="00CF4A88"/>
    <w:rsid w:val="00CF5BFD"/>
    <w:rsid w:val="00CF5F78"/>
    <w:rsid w:val="00CF613D"/>
    <w:rsid w:val="00D000FB"/>
    <w:rsid w:val="00D005A8"/>
    <w:rsid w:val="00D00B1E"/>
    <w:rsid w:val="00D01197"/>
    <w:rsid w:val="00D0157A"/>
    <w:rsid w:val="00D017C8"/>
    <w:rsid w:val="00D01DE1"/>
    <w:rsid w:val="00D02174"/>
    <w:rsid w:val="00D02FDE"/>
    <w:rsid w:val="00D0309F"/>
    <w:rsid w:val="00D039FA"/>
    <w:rsid w:val="00D03F09"/>
    <w:rsid w:val="00D04861"/>
    <w:rsid w:val="00D05195"/>
    <w:rsid w:val="00D0529F"/>
    <w:rsid w:val="00D05D6E"/>
    <w:rsid w:val="00D05E29"/>
    <w:rsid w:val="00D065C6"/>
    <w:rsid w:val="00D069C1"/>
    <w:rsid w:val="00D06B82"/>
    <w:rsid w:val="00D06E3C"/>
    <w:rsid w:val="00D07853"/>
    <w:rsid w:val="00D07BBF"/>
    <w:rsid w:val="00D1024A"/>
    <w:rsid w:val="00D10965"/>
    <w:rsid w:val="00D10B6C"/>
    <w:rsid w:val="00D1235F"/>
    <w:rsid w:val="00D12541"/>
    <w:rsid w:val="00D13E98"/>
    <w:rsid w:val="00D1495B"/>
    <w:rsid w:val="00D1517E"/>
    <w:rsid w:val="00D15948"/>
    <w:rsid w:val="00D15A05"/>
    <w:rsid w:val="00D15A7D"/>
    <w:rsid w:val="00D15AE5"/>
    <w:rsid w:val="00D16695"/>
    <w:rsid w:val="00D1698E"/>
    <w:rsid w:val="00D16B3C"/>
    <w:rsid w:val="00D16DB7"/>
    <w:rsid w:val="00D1782C"/>
    <w:rsid w:val="00D17A10"/>
    <w:rsid w:val="00D17AA0"/>
    <w:rsid w:val="00D17D47"/>
    <w:rsid w:val="00D17FC2"/>
    <w:rsid w:val="00D2012D"/>
    <w:rsid w:val="00D20490"/>
    <w:rsid w:val="00D20614"/>
    <w:rsid w:val="00D2076E"/>
    <w:rsid w:val="00D20C9C"/>
    <w:rsid w:val="00D20F85"/>
    <w:rsid w:val="00D215BD"/>
    <w:rsid w:val="00D21E83"/>
    <w:rsid w:val="00D227B0"/>
    <w:rsid w:val="00D230E7"/>
    <w:rsid w:val="00D236D8"/>
    <w:rsid w:val="00D2390D"/>
    <w:rsid w:val="00D23D39"/>
    <w:rsid w:val="00D24D85"/>
    <w:rsid w:val="00D2568E"/>
    <w:rsid w:val="00D25F70"/>
    <w:rsid w:val="00D26120"/>
    <w:rsid w:val="00D26249"/>
    <w:rsid w:val="00D26366"/>
    <w:rsid w:val="00D263E1"/>
    <w:rsid w:val="00D26A2F"/>
    <w:rsid w:val="00D272A9"/>
    <w:rsid w:val="00D27784"/>
    <w:rsid w:val="00D27EE7"/>
    <w:rsid w:val="00D30228"/>
    <w:rsid w:val="00D304F8"/>
    <w:rsid w:val="00D30A7C"/>
    <w:rsid w:val="00D31E2F"/>
    <w:rsid w:val="00D3205F"/>
    <w:rsid w:val="00D32061"/>
    <w:rsid w:val="00D325BF"/>
    <w:rsid w:val="00D32F27"/>
    <w:rsid w:val="00D332E3"/>
    <w:rsid w:val="00D34B66"/>
    <w:rsid w:val="00D3522F"/>
    <w:rsid w:val="00D354E3"/>
    <w:rsid w:val="00D355BA"/>
    <w:rsid w:val="00D36694"/>
    <w:rsid w:val="00D3710F"/>
    <w:rsid w:val="00D373CF"/>
    <w:rsid w:val="00D37D6D"/>
    <w:rsid w:val="00D40793"/>
    <w:rsid w:val="00D40C78"/>
    <w:rsid w:val="00D40E3D"/>
    <w:rsid w:val="00D41122"/>
    <w:rsid w:val="00D414BF"/>
    <w:rsid w:val="00D41D2F"/>
    <w:rsid w:val="00D42B93"/>
    <w:rsid w:val="00D42CB0"/>
    <w:rsid w:val="00D43840"/>
    <w:rsid w:val="00D45869"/>
    <w:rsid w:val="00D46120"/>
    <w:rsid w:val="00D462B8"/>
    <w:rsid w:val="00D46498"/>
    <w:rsid w:val="00D469B5"/>
    <w:rsid w:val="00D46E14"/>
    <w:rsid w:val="00D47091"/>
    <w:rsid w:val="00D47F2B"/>
    <w:rsid w:val="00D50122"/>
    <w:rsid w:val="00D50B58"/>
    <w:rsid w:val="00D515E5"/>
    <w:rsid w:val="00D51E8A"/>
    <w:rsid w:val="00D5214D"/>
    <w:rsid w:val="00D522BD"/>
    <w:rsid w:val="00D533FD"/>
    <w:rsid w:val="00D53B17"/>
    <w:rsid w:val="00D54382"/>
    <w:rsid w:val="00D54FDF"/>
    <w:rsid w:val="00D559A6"/>
    <w:rsid w:val="00D56749"/>
    <w:rsid w:val="00D56770"/>
    <w:rsid w:val="00D576A7"/>
    <w:rsid w:val="00D57963"/>
    <w:rsid w:val="00D603BF"/>
    <w:rsid w:val="00D619FE"/>
    <w:rsid w:val="00D61F90"/>
    <w:rsid w:val="00D62739"/>
    <w:rsid w:val="00D63074"/>
    <w:rsid w:val="00D6356B"/>
    <w:rsid w:val="00D63B24"/>
    <w:rsid w:val="00D65220"/>
    <w:rsid w:val="00D65A76"/>
    <w:rsid w:val="00D65C59"/>
    <w:rsid w:val="00D65F8A"/>
    <w:rsid w:val="00D65F99"/>
    <w:rsid w:val="00D662D7"/>
    <w:rsid w:val="00D667CA"/>
    <w:rsid w:val="00D66987"/>
    <w:rsid w:val="00D677ED"/>
    <w:rsid w:val="00D700BB"/>
    <w:rsid w:val="00D70FC4"/>
    <w:rsid w:val="00D71060"/>
    <w:rsid w:val="00D71409"/>
    <w:rsid w:val="00D7166C"/>
    <w:rsid w:val="00D71954"/>
    <w:rsid w:val="00D71CD6"/>
    <w:rsid w:val="00D71E4E"/>
    <w:rsid w:val="00D721A7"/>
    <w:rsid w:val="00D725CB"/>
    <w:rsid w:val="00D72F05"/>
    <w:rsid w:val="00D73638"/>
    <w:rsid w:val="00D73F35"/>
    <w:rsid w:val="00D74562"/>
    <w:rsid w:val="00D75840"/>
    <w:rsid w:val="00D76217"/>
    <w:rsid w:val="00D7622B"/>
    <w:rsid w:val="00D76B9A"/>
    <w:rsid w:val="00D7786B"/>
    <w:rsid w:val="00D77C97"/>
    <w:rsid w:val="00D80777"/>
    <w:rsid w:val="00D80C92"/>
    <w:rsid w:val="00D80EA7"/>
    <w:rsid w:val="00D81A22"/>
    <w:rsid w:val="00D820D1"/>
    <w:rsid w:val="00D826E8"/>
    <w:rsid w:val="00D83810"/>
    <w:rsid w:val="00D84367"/>
    <w:rsid w:val="00D8437E"/>
    <w:rsid w:val="00D84BEC"/>
    <w:rsid w:val="00D8557B"/>
    <w:rsid w:val="00D858CF"/>
    <w:rsid w:val="00D85BB8"/>
    <w:rsid w:val="00D86124"/>
    <w:rsid w:val="00D8663A"/>
    <w:rsid w:val="00D877DA"/>
    <w:rsid w:val="00D901A0"/>
    <w:rsid w:val="00D90911"/>
    <w:rsid w:val="00D91013"/>
    <w:rsid w:val="00D91464"/>
    <w:rsid w:val="00D91B44"/>
    <w:rsid w:val="00D91D1C"/>
    <w:rsid w:val="00D92615"/>
    <w:rsid w:val="00D92616"/>
    <w:rsid w:val="00D92690"/>
    <w:rsid w:val="00D926C4"/>
    <w:rsid w:val="00D9284B"/>
    <w:rsid w:val="00D92D61"/>
    <w:rsid w:val="00D93D84"/>
    <w:rsid w:val="00D93F63"/>
    <w:rsid w:val="00D94786"/>
    <w:rsid w:val="00D94791"/>
    <w:rsid w:val="00D94873"/>
    <w:rsid w:val="00D95078"/>
    <w:rsid w:val="00D955E7"/>
    <w:rsid w:val="00D95C7A"/>
    <w:rsid w:val="00D96A4A"/>
    <w:rsid w:val="00D976F4"/>
    <w:rsid w:val="00D977DE"/>
    <w:rsid w:val="00D978E4"/>
    <w:rsid w:val="00DA0067"/>
    <w:rsid w:val="00DA0699"/>
    <w:rsid w:val="00DA08FE"/>
    <w:rsid w:val="00DA1756"/>
    <w:rsid w:val="00DA2184"/>
    <w:rsid w:val="00DA2564"/>
    <w:rsid w:val="00DA27C9"/>
    <w:rsid w:val="00DA27E6"/>
    <w:rsid w:val="00DA3EB7"/>
    <w:rsid w:val="00DA40E3"/>
    <w:rsid w:val="00DA421E"/>
    <w:rsid w:val="00DA4221"/>
    <w:rsid w:val="00DA42B0"/>
    <w:rsid w:val="00DA435C"/>
    <w:rsid w:val="00DA4E21"/>
    <w:rsid w:val="00DA54FA"/>
    <w:rsid w:val="00DA567B"/>
    <w:rsid w:val="00DA5709"/>
    <w:rsid w:val="00DA5DE8"/>
    <w:rsid w:val="00DA784D"/>
    <w:rsid w:val="00DA7902"/>
    <w:rsid w:val="00DB1224"/>
    <w:rsid w:val="00DB16D5"/>
    <w:rsid w:val="00DB175C"/>
    <w:rsid w:val="00DB1BAC"/>
    <w:rsid w:val="00DB2112"/>
    <w:rsid w:val="00DB21EA"/>
    <w:rsid w:val="00DB2634"/>
    <w:rsid w:val="00DB2BF3"/>
    <w:rsid w:val="00DB5784"/>
    <w:rsid w:val="00DB57ED"/>
    <w:rsid w:val="00DB5E74"/>
    <w:rsid w:val="00DB6BD3"/>
    <w:rsid w:val="00DB6C1F"/>
    <w:rsid w:val="00DB7FED"/>
    <w:rsid w:val="00DC0254"/>
    <w:rsid w:val="00DC02B4"/>
    <w:rsid w:val="00DC04C0"/>
    <w:rsid w:val="00DC09BC"/>
    <w:rsid w:val="00DC0BBA"/>
    <w:rsid w:val="00DC0EBC"/>
    <w:rsid w:val="00DC174D"/>
    <w:rsid w:val="00DC1F99"/>
    <w:rsid w:val="00DC22BD"/>
    <w:rsid w:val="00DC27C8"/>
    <w:rsid w:val="00DC2CE9"/>
    <w:rsid w:val="00DC2D4B"/>
    <w:rsid w:val="00DC2E8E"/>
    <w:rsid w:val="00DC349B"/>
    <w:rsid w:val="00DC3AF7"/>
    <w:rsid w:val="00DC3FCD"/>
    <w:rsid w:val="00DC4950"/>
    <w:rsid w:val="00DC495C"/>
    <w:rsid w:val="00DC4DB3"/>
    <w:rsid w:val="00DC590D"/>
    <w:rsid w:val="00DC5F14"/>
    <w:rsid w:val="00DC6571"/>
    <w:rsid w:val="00DC69CE"/>
    <w:rsid w:val="00DC7A59"/>
    <w:rsid w:val="00DD04EA"/>
    <w:rsid w:val="00DD124B"/>
    <w:rsid w:val="00DD17C5"/>
    <w:rsid w:val="00DD1D75"/>
    <w:rsid w:val="00DD2170"/>
    <w:rsid w:val="00DD25F2"/>
    <w:rsid w:val="00DD2F49"/>
    <w:rsid w:val="00DD324F"/>
    <w:rsid w:val="00DD3AE6"/>
    <w:rsid w:val="00DD3E7D"/>
    <w:rsid w:val="00DD3F5E"/>
    <w:rsid w:val="00DD40F4"/>
    <w:rsid w:val="00DD43C7"/>
    <w:rsid w:val="00DD55D0"/>
    <w:rsid w:val="00DD5F9D"/>
    <w:rsid w:val="00DD664F"/>
    <w:rsid w:val="00DD799C"/>
    <w:rsid w:val="00DE0150"/>
    <w:rsid w:val="00DE0B1D"/>
    <w:rsid w:val="00DE154E"/>
    <w:rsid w:val="00DE1BE8"/>
    <w:rsid w:val="00DE1EF4"/>
    <w:rsid w:val="00DE202E"/>
    <w:rsid w:val="00DE27F8"/>
    <w:rsid w:val="00DE337A"/>
    <w:rsid w:val="00DE35AD"/>
    <w:rsid w:val="00DE36E6"/>
    <w:rsid w:val="00DE380E"/>
    <w:rsid w:val="00DE5A44"/>
    <w:rsid w:val="00DE6111"/>
    <w:rsid w:val="00DE6526"/>
    <w:rsid w:val="00DE6672"/>
    <w:rsid w:val="00DE6A04"/>
    <w:rsid w:val="00DE6CF2"/>
    <w:rsid w:val="00DE6E92"/>
    <w:rsid w:val="00DE70FD"/>
    <w:rsid w:val="00DE7A16"/>
    <w:rsid w:val="00DE7C26"/>
    <w:rsid w:val="00DF0B0A"/>
    <w:rsid w:val="00DF16D2"/>
    <w:rsid w:val="00DF1D16"/>
    <w:rsid w:val="00DF280E"/>
    <w:rsid w:val="00DF2BE0"/>
    <w:rsid w:val="00DF3533"/>
    <w:rsid w:val="00DF3A31"/>
    <w:rsid w:val="00DF3E2C"/>
    <w:rsid w:val="00DF41F7"/>
    <w:rsid w:val="00DF4854"/>
    <w:rsid w:val="00DF743F"/>
    <w:rsid w:val="00E002C1"/>
    <w:rsid w:val="00E006D8"/>
    <w:rsid w:val="00E01539"/>
    <w:rsid w:val="00E01758"/>
    <w:rsid w:val="00E018AC"/>
    <w:rsid w:val="00E01CE8"/>
    <w:rsid w:val="00E01E56"/>
    <w:rsid w:val="00E028F3"/>
    <w:rsid w:val="00E031ED"/>
    <w:rsid w:val="00E03287"/>
    <w:rsid w:val="00E03939"/>
    <w:rsid w:val="00E039FC"/>
    <w:rsid w:val="00E03FE6"/>
    <w:rsid w:val="00E04134"/>
    <w:rsid w:val="00E049F5"/>
    <w:rsid w:val="00E04D45"/>
    <w:rsid w:val="00E05A8D"/>
    <w:rsid w:val="00E05EB4"/>
    <w:rsid w:val="00E066D9"/>
    <w:rsid w:val="00E06A58"/>
    <w:rsid w:val="00E06CDF"/>
    <w:rsid w:val="00E06D1B"/>
    <w:rsid w:val="00E06E8F"/>
    <w:rsid w:val="00E109D7"/>
    <w:rsid w:val="00E11007"/>
    <w:rsid w:val="00E111B7"/>
    <w:rsid w:val="00E111FF"/>
    <w:rsid w:val="00E112A6"/>
    <w:rsid w:val="00E1163B"/>
    <w:rsid w:val="00E11ABD"/>
    <w:rsid w:val="00E11B15"/>
    <w:rsid w:val="00E11C8B"/>
    <w:rsid w:val="00E125C7"/>
    <w:rsid w:val="00E12FC9"/>
    <w:rsid w:val="00E13742"/>
    <w:rsid w:val="00E13FAD"/>
    <w:rsid w:val="00E14559"/>
    <w:rsid w:val="00E14C2E"/>
    <w:rsid w:val="00E151F7"/>
    <w:rsid w:val="00E158C3"/>
    <w:rsid w:val="00E1622F"/>
    <w:rsid w:val="00E16606"/>
    <w:rsid w:val="00E17514"/>
    <w:rsid w:val="00E179EC"/>
    <w:rsid w:val="00E17FEB"/>
    <w:rsid w:val="00E208EC"/>
    <w:rsid w:val="00E20ABA"/>
    <w:rsid w:val="00E20ADD"/>
    <w:rsid w:val="00E20C90"/>
    <w:rsid w:val="00E212DA"/>
    <w:rsid w:val="00E214BF"/>
    <w:rsid w:val="00E21D13"/>
    <w:rsid w:val="00E22040"/>
    <w:rsid w:val="00E22208"/>
    <w:rsid w:val="00E2254D"/>
    <w:rsid w:val="00E22AA7"/>
    <w:rsid w:val="00E24CB7"/>
    <w:rsid w:val="00E26266"/>
    <w:rsid w:val="00E264D9"/>
    <w:rsid w:val="00E26AA8"/>
    <w:rsid w:val="00E26F80"/>
    <w:rsid w:val="00E273BB"/>
    <w:rsid w:val="00E27AD7"/>
    <w:rsid w:val="00E27E90"/>
    <w:rsid w:val="00E30464"/>
    <w:rsid w:val="00E30FB6"/>
    <w:rsid w:val="00E3101B"/>
    <w:rsid w:val="00E315E7"/>
    <w:rsid w:val="00E327C6"/>
    <w:rsid w:val="00E327F1"/>
    <w:rsid w:val="00E32AC3"/>
    <w:rsid w:val="00E32B85"/>
    <w:rsid w:val="00E32CB3"/>
    <w:rsid w:val="00E3347F"/>
    <w:rsid w:val="00E33742"/>
    <w:rsid w:val="00E33C53"/>
    <w:rsid w:val="00E3472C"/>
    <w:rsid w:val="00E3473E"/>
    <w:rsid w:val="00E358D7"/>
    <w:rsid w:val="00E3590C"/>
    <w:rsid w:val="00E35DE4"/>
    <w:rsid w:val="00E36AE7"/>
    <w:rsid w:val="00E377CF"/>
    <w:rsid w:val="00E37F2A"/>
    <w:rsid w:val="00E4024A"/>
    <w:rsid w:val="00E408C2"/>
    <w:rsid w:val="00E40B68"/>
    <w:rsid w:val="00E412BD"/>
    <w:rsid w:val="00E41C85"/>
    <w:rsid w:val="00E42F94"/>
    <w:rsid w:val="00E4312D"/>
    <w:rsid w:val="00E43C04"/>
    <w:rsid w:val="00E4496E"/>
    <w:rsid w:val="00E45029"/>
    <w:rsid w:val="00E45BC9"/>
    <w:rsid w:val="00E46647"/>
    <w:rsid w:val="00E467A8"/>
    <w:rsid w:val="00E46C27"/>
    <w:rsid w:val="00E47A62"/>
    <w:rsid w:val="00E47CBD"/>
    <w:rsid w:val="00E47E51"/>
    <w:rsid w:val="00E50931"/>
    <w:rsid w:val="00E51369"/>
    <w:rsid w:val="00E51598"/>
    <w:rsid w:val="00E51A96"/>
    <w:rsid w:val="00E51C84"/>
    <w:rsid w:val="00E52597"/>
    <w:rsid w:val="00E52D61"/>
    <w:rsid w:val="00E52D70"/>
    <w:rsid w:val="00E52D87"/>
    <w:rsid w:val="00E530A7"/>
    <w:rsid w:val="00E53D52"/>
    <w:rsid w:val="00E5411F"/>
    <w:rsid w:val="00E5417F"/>
    <w:rsid w:val="00E541A5"/>
    <w:rsid w:val="00E5436C"/>
    <w:rsid w:val="00E54960"/>
    <w:rsid w:val="00E550B4"/>
    <w:rsid w:val="00E557D1"/>
    <w:rsid w:val="00E55997"/>
    <w:rsid w:val="00E560FB"/>
    <w:rsid w:val="00E56B54"/>
    <w:rsid w:val="00E57A48"/>
    <w:rsid w:val="00E57A5F"/>
    <w:rsid w:val="00E57DB4"/>
    <w:rsid w:val="00E61960"/>
    <w:rsid w:val="00E62531"/>
    <w:rsid w:val="00E62785"/>
    <w:rsid w:val="00E62EE0"/>
    <w:rsid w:val="00E630F0"/>
    <w:rsid w:val="00E633A0"/>
    <w:rsid w:val="00E63626"/>
    <w:rsid w:val="00E63794"/>
    <w:rsid w:val="00E63BBC"/>
    <w:rsid w:val="00E63FB4"/>
    <w:rsid w:val="00E64109"/>
    <w:rsid w:val="00E64FE6"/>
    <w:rsid w:val="00E65050"/>
    <w:rsid w:val="00E65124"/>
    <w:rsid w:val="00E6516A"/>
    <w:rsid w:val="00E65502"/>
    <w:rsid w:val="00E668A5"/>
    <w:rsid w:val="00E669FF"/>
    <w:rsid w:val="00E67030"/>
    <w:rsid w:val="00E6745B"/>
    <w:rsid w:val="00E67717"/>
    <w:rsid w:val="00E67EEC"/>
    <w:rsid w:val="00E700A7"/>
    <w:rsid w:val="00E70401"/>
    <w:rsid w:val="00E70AE1"/>
    <w:rsid w:val="00E70FD2"/>
    <w:rsid w:val="00E716B6"/>
    <w:rsid w:val="00E71BE9"/>
    <w:rsid w:val="00E71D49"/>
    <w:rsid w:val="00E71F72"/>
    <w:rsid w:val="00E720B1"/>
    <w:rsid w:val="00E723D0"/>
    <w:rsid w:val="00E729C4"/>
    <w:rsid w:val="00E72EDE"/>
    <w:rsid w:val="00E73ACA"/>
    <w:rsid w:val="00E74050"/>
    <w:rsid w:val="00E744CA"/>
    <w:rsid w:val="00E751B0"/>
    <w:rsid w:val="00E7570B"/>
    <w:rsid w:val="00E75759"/>
    <w:rsid w:val="00E75C14"/>
    <w:rsid w:val="00E76C55"/>
    <w:rsid w:val="00E80182"/>
    <w:rsid w:val="00E81012"/>
    <w:rsid w:val="00E8254B"/>
    <w:rsid w:val="00E82846"/>
    <w:rsid w:val="00E82913"/>
    <w:rsid w:val="00E830B5"/>
    <w:rsid w:val="00E83998"/>
    <w:rsid w:val="00E83FB9"/>
    <w:rsid w:val="00E842FB"/>
    <w:rsid w:val="00E8494F"/>
    <w:rsid w:val="00E851F4"/>
    <w:rsid w:val="00E8554A"/>
    <w:rsid w:val="00E86443"/>
    <w:rsid w:val="00E872D0"/>
    <w:rsid w:val="00E87D23"/>
    <w:rsid w:val="00E90812"/>
    <w:rsid w:val="00E90D01"/>
    <w:rsid w:val="00E9114B"/>
    <w:rsid w:val="00E9142D"/>
    <w:rsid w:val="00E920BB"/>
    <w:rsid w:val="00E9276A"/>
    <w:rsid w:val="00E92F2E"/>
    <w:rsid w:val="00E93842"/>
    <w:rsid w:val="00E93F19"/>
    <w:rsid w:val="00E942E3"/>
    <w:rsid w:val="00E94373"/>
    <w:rsid w:val="00E944B5"/>
    <w:rsid w:val="00E9556D"/>
    <w:rsid w:val="00E9622F"/>
    <w:rsid w:val="00E964EB"/>
    <w:rsid w:val="00E969B5"/>
    <w:rsid w:val="00E96FA3"/>
    <w:rsid w:val="00E97A4D"/>
    <w:rsid w:val="00EA000E"/>
    <w:rsid w:val="00EA0503"/>
    <w:rsid w:val="00EA05F1"/>
    <w:rsid w:val="00EA0667"/>
    <w:rsid w:val="00EA0C04"/>
    <w:rsid w:val="00EA0C28"/>
    <w:rsid w:val="00EA2178"/>
    <w:rsid w:val="00EA37AA"/>
    <w:rsid w:val="00EA4DAA"/>
    <w:rsid w:val="00EA4E43"/>
    <w:rsid w:val="00EA512B"/>
    <w:rsid w:val="00EA5440"/>
    <w:rsid w:val="00EA5794"/>
    <w:rsid w:val="00EA5838"/>
    <w:rsid w:val="00EA6620"/>
    <w:rsid w:val="00EA675A"/>
    <w:rsid w:val="00EA6852"/>
    <w:rsid w:val="00EA68FC"/>
    <w:rsid w:val="00EA7816"/>
    <w:rsid w:val="00EB0890"/>
    <w:rsid w:val="00EB3FDC"/>
    <w:rsid w:val="00EB4229"/>
    <w:rsid w:val="00EB4B59"/>
    <w:rsid w:val="00EB500D"/>
    <w:rsid w:val="00EB5847"/>
    <w:rsid w:val="00EB5BEB"/>
    <w:rsid w:val="00EB5CC5"/>
    <w:rsid w:val="00EB5D4B"/>
    <w:rsid w:val="00EB5D76"/>
    <w:rsid w:val="00EB6B87"/>
    <w:rsid w:val="00EC00A4"/>
    <w:rsid w:val="00EC0968"/>
    <w:rsid w:val="00EC12C1"/>
    <w:rsid w:val="00EC1714"/>
    <w:rsid w:val="00EC1B9D"/>
    <w:rsid w:val="00EC1D95"/>
    <w:rsid w:val="00EC1E28"/>
    <w:rsid w:val="00EC3BA4"/>
    <w:rsid w:val="00EC41B4"/>
    <w:rsid w:val="00EC43CE"/>
    <w:rsid w:val="00EC48CD"/>
    <w:rsid w:val="00EC50AA"/>
    <w:rsid w:val="00EC53AA"/>
    <w:rsid w:val="00EC5D26"/>
    <w:rsid w:val="00EC7502"/>
    <w:rsid w:val="00EC7EA9"/>
    <w:rsid w:val="00ED004F"/>
    <w:rsid w:val="00ED04A7"/>
    <w:rsid w:val="00ED1AC3"/>
    <w:rsid w:val="00ED2023"/>
    <w:rsid w:val="00ED23F6"/>
    <w:rsid w:val="00ED309B"/>
    <w:rsid w:val="00ED39B4"/>
    <w:rsid w:val="00ED3E75"/>
    <w:rsid w:val="00ED4555"/>
    <w:rsid w:val="00ED542A"/>
    <w:rsid w:val="00ED6322"/>
    <w:rsid w:val="00ED6411"/>
    <w:rsid w:val="00ED646B"/>
    <w:rsid w:val="00ED6DD6"/>
    <w:rsid w:val="00ED7030"/>
    <w:rsid w:val="00ED71BE"/>
    <w:rsid w:val="00EE0812"/>
    <w:rsid w:val="00EE0CB2"/>
    <w:rsid w:val="00EE0E30"/>
    <w:rsid w:val="00EE0FA5"/>
    <w:rsid w:val="00EE118C"/>
    <w:rsid w:val="00EE27E6"/>
    <w:rsid w:val="00EE283B"/>
    <w:rsid w:val="00EE2B43"/>
    <w:rsid w:val="00EE2DB8"/>
    <w:rsid w:val="00EE33C6"/>
    <w:rsid w:val="00EE4DE7"/>
    <w:rsid w:val="00EE541B"/>
    <w:rsid w:val="00EE545B"/>
    <w:rsid w:val="00EE68D6"/>
    <w:rsid w:val="00EE6BB8"/>
    <w:rsid w:val="00EE7139"/>
    <w:rsid w:val="00EF01C0"/>
    <w:rsid w:val="00EF067D"/>
    <w:rsid w:val="00EF0F2E"/>
    <w:rsid w:val="00EF11AF"/>
    <w:rsid w:val="00EF1210"/>
    <w:rsid w:val="00EF203F"/>
    <w:rsid w:val="00EF2205"/>
    <w:rsid w:val="00EF3A39"/>
    <w:rsid w:val="00EF3BE6"/>
    <w:rsid w:val="00EF415A"/>
    <w:rsid w:val="00EF419D"/>
    <w:rsid w:val="00EF4507"/>
    <w:rsid w:val="00EF46C8"/>
    <w:rsid w:val="00EF47B6"/>
    <w:rsid w:val="00EF4F11"/>
    <w:rsid w:val="00EF614A"/>
    <w:rsid w:val="00EF6E16"/>
    <w:rsid w:val="00EF6EAA"/>
    <w:rsid w:val="00EF7027"/>
    <w:rsid w:val="00F0007C"/>
    <w:rsid w:val="00F0016A"/>
    <w:rsid w:val="00F01028"/>
    <w:rsid w:val="00F016A3"/>
    <w:rsid w:val="00F0180C"/>
    <w:rsid w:val="00F02785"/>
    <w:rsid w:val="00F032FD"/>
    <w:rsid w:val="00F04E33"/>
    <w:rsid w:val="00F0566C"/>
    <w:rsid w:val="00F0571C"/>
    <w:rsid w:val="00F06C45"/>
    <w:rsid w:val="00F06FF0"/>
    <w:rsid w:val="00F07591"/>
    <w:rsid w:val="00F10954"/>
    <w:rsid w:val="00F10BB4"/>
    <w:rsid w:val="00F10FBC"/>
    <w:rsid w:val="00F1165E"/>
    <w:rsid w:val="00F123EF"/>
    <w:rsid w:val="00F12661"/>
    <w:rsid w:val="00F12BA8"/>
    <w:rsid w:val="00F12DC2"/>
    <w:rsid w:val="00F12F8D"/>
    <w:rsid w:val="00F13BD5"/>
    <w:rsid w:val="00F13FAA"/>
    <w:rsid w:val="00F1404A"/>
    <w:rsid w:val="00F141A2"/>
    <w:rsid w:val="00F145DE"/>
    <w:rsid w:val="00F148B7"/>
    <w:rsid w:val="00F1525D"/>
    <w:rsid w:val="00F1565F"/>
    <w:rsid w:val="00F179C0"/>
    <w:rsid w:val="00F17C4C"/>
    <w:rsid w:val="00F201DC"/>
    <w:rsid w:val="00F203BB"/>
    <w:rsid w:val="00F20B97"/>
    <w:rsid w:val="00F22D36"/>
    <w:rsid w:val="00F234D1"/>
    <w:rsid w:val="00F2406C"/>
    <w:rsid w:val="00F25534"/>
    <w:rsid w:val="00F2556A"/>
    <w:rsid w:val="00F25C86"/>
    <w:rsid w:val="00F2641C"/>
    <w:rsid w:val="00F266B1"/>
    <w:rsid w:val="00F26703"/>
    <w:rsid w:val="00F26A16"/>
    <w:rsid w:val="00F273E9"/>
    <w:rsid w:val="00F274C6"/>
    <w:rsid w:val="00F27E24"/>
    <w:rsid w:val="00F27F47"/>
    <w:rsid w:val="00F300B4"/>
    <w:rsid w:val="00F31615"/>
    <w:rsid w:val="00F31FC8"/>
    <w:rsid w:val="00F32302"/>
    <w:rsid w:val="00F3270E"/>
    <w:rsid w:val="00F328C2"/>
    <w:rsid w:val="00F3294C"/>
    <w:rsid w:val="00F329E4"/>
    <w:rsid w:val="00F33691"/>
    <w:rsid w:val="00F33A69"/>
    <w:rsid w:val="00F33C01"/>
    <w:rsid w:val="00F33C0E"/>
    <w:rsid w:val="00F33C92"/>
    <w:rsid w:val="00F33FEC"/>
    <w:rsid w:val="00F341E0"/>
    <w:rsid w:val="00F349E3"/>
    <w:rsid w:val="00F353C0"/>
    <w:rsid w:val="00F35B6D"/>
    <w:rsid w:val="00F36EB6"/>
    <w:rsid w:val="00F37912"/>
    <w:rsid w:val="00F402E2"/>
    <w:rsid w:val="00F40D2D"/>
    <w:rsid w:val="00F40FAA"/>
    <w:rsid w:val="00F411A9"/>
    <w:rsid w:val="00F417C9"/>
    <w:rsid w:val="00F42215"/>
    <w:rsid w:val="00F42C23"/>
    <w:rsid w:val="00F42C3D"/>
    <w:rsid w:val="00F43774"/>
    <w:rsid w:val="00F442CC"/>
    <w:rsid w:val="00F44483"/>
    <w:rsid w:val="00F446D1"/>
    <w:rsid w:val="00F449BD"/>
    <w:rsid w:val="00F44CA4"/>
    <w:rsid w:val="00F44D3D"/>
    <w:rsid w:val="00F45610"/>
    <w:rsid w:val="00F45885"/>
    <w:rsid w:val="00F460E8"/>
    <w:rsid w:val="00F462E0"/>
    <w:rsid w:val="00F466BC"/>
    <w:rsid w:val="00F467A1"/>
    <w:rsid w:val="00F472F7"/>
    <w:rsid w:val="00F477EF"/>
    <w:rsid w:val="00F47982"/>
    <w:rsid w:val="00F5023D"/>
    <w:rsid w:val="00F508F9"/>
    <w:rsid w:val="00F509DC"/>
    <w:rsid w:val="00F5117B"/>
    <w:rsid w:val="00F511BC"/>
    <w:rsid w:val="00F51286"/>
    <w:rsid w:val="00F51462"/>
    <w:rsid w:val="00F51F00"/>
    <w:rsid w:val="00F5246E"/>
    <w:rsid w:val="00F54879"/>
    <w:rsid w:val="00F54CB4"/>
    <w:rsid w:val="00F55924"/>
    <w:rsid w:val="00F5618B"/>
    <w:rsid w:val="00F56B7D"/>
    <w:rsid w:val="00F57701"/>
    <w:rsid w:val="00F57E71"/>
    <w:rsid w:val="00F60929"/>
    <w:rsid w:val="00F612D0"/>
    <w:rsid w:val="00F61DEA"/>
    <w:rsid w:val="00F61E87"/>
    <w:rsid w:val="00F62277"/>
    <w:rsid w:val="00F623ED"/>
    <w:rsid w:val="00F62EB6"/>
    <w:rsid w:val="00F633FB"/>
    <w:rsid w:val="00F63467"/>
    <w:rsid w:val="00F6478F"/>
    <w:rsid w:val="00F64F27"/>
    <w:rsid w:val="00F6588D"/>
    <w:rsid w:val="00F65D72"/>
    <w:rsid w:val="00F6621A"/>
    <w:rsid w:val="00F66CE5"/>
    <w:rsid w:val="00F66E06"/>
    <w:rsid w:val="00F71718"/>
    <w:rsid w:val="00F7180B"/>
    <w:rsid w:val="00F72B01"/>
    <w:rsid w:val="00F732E7"/>
    <w:rsid w:val="00F734AA"/>
    <w:rsid w:val="00F73684"/>
    <w:rsid w:val="00F73792"/>
    <w:rsid w:val="00F73AC2"/>
    <w:rsid w:val="00F74039"/>
    <w:rsid w:val="00F7541F"/>
    <w:rsid w:val="00F76E53"/>
    <w:rsid w:val="00F77BDC"/>
    <w:rsid w:val="00F8112D"/>
    <w:rsid w:val="00F811C2"/>
    <w:rsid w:val="00F8155E"/>
    <w:rsid w:val="00F81CDA"/>
    <w:rsid w:val="00F81F8A"/>
    <w:rsid w:val="00F83C86"/>
    <w:rsid w:val="00F84D1A"/>
    <w:rsid w:val="00F85243"/>
    <w:rsid w:val="00F852D6"/>
    <w:rsid w:val="00F8546F"/>
    <w:rsid w:val="00F85E9A"/>
    <w:rsid w:val="00F85F8D"/>
    <w:rsid w:val="00F87D52"/>
    <w:rsid w:val="00F87F9F"/>
    <w:rsid w:val="00F904A5"/>
    <w:rsid w:val="00F90C9D"/>
    <w:rsid w:val="00F9117A"/>
    <w:rsid w:val="00F911D6"/>
    <w:rsid w:val="00F91A4E"/>
    <w:rsid w:val="00F91C48"/>
    <w:rsid w:val="00F921AD"/>
    <w:rsid w:val="00F922F2"/>
    <w:rsid w:val="00F92E51"/>
    <w:rsid w:val="00F93080"/>
    <w:rsid w:val="00F9396D"/>
    <w:rsid w:val="00F93B7B"/>
    <w:rsid w:val="00F940EC"/>
    <w:rsid w:val="00F95586"/>
    <w:rsid w:val="00F9584D"/>
    <w:rsid w:val="00F95D6A"/>
    <w:rsid w:val="00F96356"/>
    <w:rsid w:val="00F96BB1"/>
    <w:rsid w:val="00F9730D"/>
    <w:rsid w:val="00F97D67"/>
    <w:rsid w:val="00FA0678"/>
    <w:rsid w:val="00FA08F1"/>
    <w:rsid w:val="00FA1642"/>
    <w:rsid w:val="00FA1BBF"/>
    <w:rsid w:val="00FA2337"/>
    <w:rsid w:val="00FA28EE"/>
    <w:rsid w:val="00FA2AE9"/>
    <w:rsid w:val="00FA3216"/>
    <w:rsid w:val="00FA3706"/>
    <w:rsid w:val="00FA3B51"/>
    <w:rsid w:val="00FA3F4F"/>
    <w:rsid w:val="00FA463A"/>
    <w:rsid w:val="00FA4A45"/>
    <w:rsid w:val="00FA4ED4"/>
    <w:rsid w:val="00FA5760"/>
    <w:rsid w:val="00FA66A1"/>
    <w:rsid w:val="00FA66DF"/>
    <w:rsid w:val="00FA78B6"/>
    <w:rsid w:val="00FA7919"/>
    <w:rsid w:val="00FA7A12"/>
    <w:rsid w:val="00FA7AA8"/>
    <w:rsid w:val="00FA7E06"/>
    <w:rsid w:val="00FB0219"/>
    <w:rsid w:val="00FB1408"/>
    <w:rsid w:val="00FB143F"/>
    <w:rsid w:val="00FB1AF6"/>
    <w:rsid w:val="00FB1C9F"/>
    <w:rsid w:val="00FB2B82"/>
    <w:rsid w:val="00FB31C1"/>
    <w:rsid w:val="00FB3787"/>
    <w:rsid w:val="00FB3A3E"/>
    <w:rsid w:val="00FB4204"/>
    <w:rsid w:val="00FB44A9"/>
    <w:rsid w:val="00FB6151"/>
    <w:rsid w:val="00FB65B0"/>
    <w:rsid w:val="00FB66DB"/>
    <w:rsid w:val="00FB6EB5"/>
    <w:rsid w:val="00FB7FDF"/>
    <w:rsid w:val="00FC0A3F"/>
    <w:rsid w:val="00FC10AC"/>
    <w:rsid w:val="00FC12D4"/>
    <w:rsid w:val="00FC3539"/>
    <w:rsid w:val="00FC359C"/>
    <w:rsid w:val="00FC3652"/>
    <w:rsid w:val="00FC5BF1"/>
    <w:rsid w:val="00FC5FFF"/>
    <w:rsid w:val="00FC6041"/>
    <w:rsid w:val="00FC653E"/>
    <w:rsid w:val="00FC67BD"/>
    <w:rsid w:val="00FC6AED"/>
    <w:rsid w:val="00FC6D63"/>
    <w:rsid w:val="00FD00A8"/>
    <w:rsid w:val="00FD06CE"/>
    <w:rsid w:val="00FD0AE5"/>
    <w:rsid w:val="00FD0C7B"/>
    <w:rsid w:val="00FD166D"/>
    <w:rsid w:val="00FD1D34"/>
    <w:rsid w:val="00FD1DD2"/>
    <w:rsid w:val="00FD1F8B"/>
    <w:rsid w:val="00FD2208"/>
    <w:rsid w:val="00FD2AB7"/>
    <w:rsid w:val="00FD3C59"/>
    <w:rsid w:val="00FD3CE8"/>
    <w:rsid w:val="00FD4EC7"/>
    <w:rsid w:val="00FD5330"/>
    <w:rsid w:val="00FD604A"/>
    <w:rsid w:val="00FD60B5"/>
    <w:rsid w:val="00FD722B"/>
    <w:rsid w:val="00FD7598"/>
    <w:rsid w:val="00FD77E0"/>
    <w:rsid w:val="00FD7E25"/>
    <w:rsid w:val="00FE0464"/>
    <w:rsid w:val="00FE071A"/>
    <w:rsid w:val="00FE0A0F"/>
    <w:rsid w:val="00FE0B6B"/>
    <w:rsid w:val="00FE0E46"/>
    <w:rsid w:val="00FE0EF6"/>
    <w:rsid w:val="00FE1067"/>
    <w:rsid w:val="00FE14FC"/>
    <w:rsid w:val="00FE1B77"/>
    <w:rsid w:val="00FE207E"/>
    <w:rsid w:val="00FE20CE"/>
    <w:rsid w:val="00FE219E"/>
    <w:rsid w:val="00FE2368"/>
    <w:rsid w:val="00FE2914"/>
    <w:rsid w:val="00FE2EC7"/>
    <w:rsid w:val="00FE334C"/>
    <w:rsid w:val="00FE3449"/>
    <w:rsid w:val="00FE47D0"/>
    <w:rsid w:val="00FE56EE"/>
    <w:rsid w:val="00FE5ADA"/>
    <w:rsid w:val="00FE5C23"/>
    <w:rsid w:val="00FE69F8"/>
    <w:rsid w:val="00FE7087"/>
    <w:rsid w:val="00FE72A0"/>
    <w:rsid w:val="00FF0487"/>
    <w:rsid w:val="00FF1385"/>
    <w:rsid w:val="00FF164D"/>
    <w:rsid w:val="00FF2374"/>
    <w:rsid w:val="00FF2CD2"/>
    <w:rsid w:val="00FF2DC8"/>
    <w:rsid w:val="00FF3C3C"/>
    <w:rsid w:val="00FF3E30"/>
    <w:rsid w:val="00FF442E"/>
    <w:rsid w:val="00FF4432"/>
    <w:rsid w:val="00FF5542"/>
    <w:rsid w:val="00FF5EA2"/>
    <w:rsid w:val="00FF74CF"/>
    <w:rsid w:val="00FF7E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CA84A066-32DA-4AE3-B470-CF5F418C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7BC"/>
    <w:pPr>
      <w:widowControl w:val="0"/>
      <w:numPr>
        <w:numId w:val="6"/>
      </w:numPr>
      <w:ind w:left="357" w:hanging="357"/>
      <w:contextualSpacing/>
      <w:outlineLvl w:val="0"/>
    </w:pPr>
    <w:rPr>
      <w:rFonts w:eastAsia="Calibri" w:cs="Arial"/>
      <w:b/>
      <w:color w:val="595959"/>
      <w:sz w:val="28"/>
      <w:szCs w:val="28"/>
      <w:lang w:val="en-ZA"/>
    </w:rPr>
  </w:style>
  <w:style w:type="paragraph" w:styleId="Heading2">
    <w:name w:val="heading 2"/>
    <w:basedOn w:val="Normal"/>
    <w:next w:val="Normal"/>
    <w:link w:val="Heading2Char"/>
    <w:uiPriority w:val="9"/>
    <w:unhideWhenUsed/>
    <w:qFormat/>
    <w:rsid w:val="008C1F3F"/>
    <w:pPr>
      <w:outlineLvl w:val="1"/>
    </w:pPr>
    <w:rPr>
      <w:rFonts w:eastAsia="Calibri" w:cs="Arial"/>
      <w:sz w:val="22"/>
      <w:szCs w:val="22"/>
      <w:u w:val="single"/>
      <w:lang w:val="en-ZA"/>
    </w:rPr>
  </w:style>
  <w:style w:type="paragraph" w:styleId="Heading3">
    <w:name w:val="heading 3"/>
    <w:basedOn w:val="Normal"/>
    <w:next w:val="Normal"/>
    <w:link w:val="Heading3Char"/>
    <w:uiPriority w:val="9"/>
    <w:unhideWhenUsed/>
    <w:qFormat/>
    <w:rsid w:val="00B73291"/>
    <w:pPr>
      <w:keepNext/>
      <w:keepLines/>
      <w:spacing w:before="40"/>
      <w:outlineLvl w:val="2"/>
    </w:pPr>
    <w:rPr>
      <w:rFonts w:asciiTheme="majorHAnsi" w:eastAsiaTheme="majorEastAsia" w:hAnsiTheme="majorHAnsi" w:cstheme="majorBidi"/>
      <w:color w:val="4D5519" w:themeColor="accent1" w:themeShade="7F"/>
    </w:rPr>
  </w:style>
  <w:style w:type="paragraph" w:styleId="Heading4">
    <w:name w:val="heading 4"/>
    <w:basedOn w:val="Normal"/>
    <w:next w:val="Normal"/>
    <w:link w:val="Heading4Char"/>
    <w:uiPriority w:val="9"/>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F46A9"/>
    <w:pPr>
      <w:jc w:val="both"/>
    </w:pPr>
    <w:rPr>
      <w:rFonts w:ascii="Calibri" w:hAnsi="Calibri" w:cs="Arial"/>
      <w:color w:val="FFFFFF" w:themeColor="background1"/>
      <w:sz w:val="22"/>
      <w:szCs w:val="22"/>
      <w:lang w:val="en-GB"/>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0407BC"/>
    <w:rPr>
      <w:rFonts w:eastAsia="Calibri" w:cs="Arial"/>
      <w:b/>
      <w:color w:val="595959"/>
      <w:sz w:val="28"/>
      <w:szCs w:val="28"/>
      <w:lang w:val="en-ZA"/>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120CC9"/>
    <w:pPr>
      <w:widowControl w:val="0"/>
      <w:spacing w:after="200" w:line="276" w:lineRule="auto"/>
      <w:ind w:left="720"/>
      <w:contextualSpacing/>
    </w:pPr>
    <w:rPr>
      <w:szCs w:val="22"/>
      <w:lang w:val="en-US"/>
    </w:rPr>
  </w:style>
  <w:style w:type="paragraph" w:styleId="NoSpacing">
    <w:name w:val="No Spacing"/>
    <w:link w:val="NoSpacingChar"/>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2"/>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073783"/>
    <w:pPr>
      <w:numPr>
        <w:numId w:val="3"/>
      </w:numPr>
      <w:snapToGrid w:val="0"/>
    </w:pPr>
    <w:rPr>
      <w:rFonts w:cs="Arial"/>
      <w:b/>
      <w:sz w:val="22"/>
      <w:szCs w:val="22"/>
      <w:lang w:val="en-US"/>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1"/>
      </w:numPr>
    </w:pPr>
  </w:style>
  <w:style w:type="character" w:styleId="CommentReference">
    <w:name w:val="annotation reference"/>
    <w:basedOn w:val="DefaultParagraphFont"/>
    <w:uiPriority w:val="99"/>
    <w:unhideWhenUsed/>
    <w:rsid w:val="007B01B5"/>
    <w:rPr>
      <w:sz w:val="16"/>
      <w:szCs w:val="16"/>
    </w:rPr>
  </w:style>
  <w:style w:type="paragraph" w:styleId="CommentText">
    <w:name w:val="annotation text"/>
    <w:basedOn w:val="Normal"/>
    <w:link w:val="CommentTextChar"/>
    <w:uiPriority w:val="99"/>
    <w:unhideWhenUsed/>
    <w:rsid w:val="007B01B5"/>
    <w:rPr>
      <w:sz w:val="20"/>
      <w:szCs w:val="20"/>
    </w:rPr>
  </w:style>
  <w:style w:type="character" w:customStyle="1" w:styleId="CommentTextChar">
    <w:name w:val="Comment Text Char"/>
    <w:basedOn w:val="DefaultParagraphFont"/>
    <w:link w:val="CommentText"/>
    <w:uiPriority w:val="99"/>
    <w:rsid w:val="007B01B5"/>
    <w:rPr>
      <w:sz w:val="20"/>
      <w:szCs w:val="20"/>
    </w:rPr>
  </w:style>
  <w:style w:type="paragraph" w:styleId="CommentSubject">
    <w:name w:val="annotation subject"/>
    <w:basedOn w:val="CommentText"/>
    <w:next w:val="CommentText"/>
    <w:link w:val="CommentSubjectChar"/>
    <w:uiPriority w:val="99"/>
    <w:semiHidden/>
    <w:unhideWhenUsed/>
    <w:rsid w:val="007B01B5"/>
    <w:rPr>
      <w:b/>
      <w:bCs/>
    </w:rPr>
  </w:style>
  <w:style w:type="character" w:customStyle="1" w:styleId="CommentSubjectChar">
    <w:name w:val="Comment Subject Char"/>
    <w:basedOn w:val="CommentTextChar"/>
    <w:link w:val="CommentSubject"/>
    <w:uiPriority w:val="99"/>
    <w:semiHidden/>
    <w:rsid w:val="007B01B5"/>
    <w:rPr>
      <w:b/>
      <w:bCs/>
      <w:sz w:val="20"/>
      <w:szCs w:val="20"/>
    </w:rPr>
  </w:style>
  <w:style w:type="character" w:styleId="UnresolvedMention">
    <w:name w:val="Unresolved Mention"/>
    <w:basedOn w:val="DefaultParagraphFon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character" w:customStyle="1" w:styleId="CISUansgningstekst1Tegn">
    <w:name w:val="CISU ansøgningstekst 1 Tegn"/>
    <w:aliases w:val="2 Tegn,3 Tegn"/>
    <w:basedOn w:val="DefaultParagraphFont"/>
    <w:link w:val="CISUansgningstekst1"/>
    <w:rsid w:val="00073783"/>
    <w:rPr>
      <w:rFonts w:cs="Arial"/>
      <w:b/>
      <w:sz w:val="22"/>
      <w:szCs w:val="22"/>
      <w:lang w:val="en-US"/>
    </w:rPr>
  </w:style>
  <w:style w:type="paragraph" w:customStyle="1" w:styleId="BRUGDENNEOVERSKRIFT">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customStyle="1" w:styleId="BRUGDENNEOVERSKRIFTTegn">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PlainText">
    <w:name w:val="Plain Text"/>
    <w:basedOn w:val="Normal"/>
    <w:link w:val="PlainTextChar"/>
    <w:uiPriority w:val="99"/>
    <w:semiHidden/>
    <w:unhideWhenUsed/>
    <w:rsid w:val="009E1E73"/>
    <w:rPr>
      <w:rFonts w:ascii="Calibri" w:hAnsi="Calibri"/>
      <w:sz w:val="22"/>
      <w:szCs w:val="21"/>
    </w:rPr>
  </w:style>
  <w:style w:type="character" w:customStyle="1" w:styleId="PlainTextChar">
    <w:name w:val="Plain Text Char"/>
    <w:basedOn w:val="DefaultParagraphFont"/>
    <w:link w:val="PlainText"/>
    <w:uiPriority w:val="99"/>
    <w:semiHidden/>
    <w:rsid w:val="009E1E73"/>
    <w:rPr>
      <w:rFonts w:ascii="Calibri" w:hAnsi="Calibri"/>
      <w:sz w:val="22"/>
      <w:szCs w:val="21"/>
    </w:rPr>
  </w:style>
  <w:style w:type="table" w:styleId="TableGrid">
    <w:name w:val="Table Grid"/>
    <w:basedOn w:val="TableNormal"/>
    <w:uiPriority w:val="39"/>
    <w:rsid w:val="00CD6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F215E"/>
    <w:rPr>
      <w:sz w:val="22"/>
      <w:szCs w:val="22"/>
    </w:rPr>
  </w:style>
  <w:style w:type="character" w:customStyle="1" w:styleId="Heading2Char">
    <w:name w:val="Heading 2 Char"/>
    <w:basedOn w:val="DefaultParagraphFont"/>
    <w:link w:val="Heading2"/>
    <w:uiPriority w:val="9"/>
    <w:rsid w:val="008C1F3F"/>
    <w:rPr>
      <w:rFonts w:eastAsia="Calibri" w:cs="Arial"/>
      <w:sz w:val="22"/>
      <w:szCs w:val="22"/>
      <w:u w:val="single"/>
      <w:lang w:val="en-ZA"/>
    </w:rPr>
  </w:style>
  <w:style w:type="character" w:customStyle="1" w:styleId="Heading3Char">
    <w:name w:val="Heading 3 Char"/>
    <w:basedOn w:val="DefaultParagraphFont"/>
    <w:link w:val="Heading3"/>
    <w:uiPriority w:val="9"/>
    <w:rsid w:val="00B73291"/>
    <w:rPr>
      <w:rFonts w:asciiTheme="majorHAnsi" w:eastAsiaTheme="majorEastAsia" w:hAnsiTheme="majorHAnsi" w:cstheme="majorBidi"/>
      <w:color w:val="4D5519" w:themeColor="accent1" w:themeShade="7F"/>
    </w:rPr>
  </w:style>
  <w:style w:type="paragraph" w:styleId="FootnoteText">
    <w:name w:val="footnote text"/>
    <w:basedOn w:val="Normal"/>
    <w:link w:val="FootnoteTextChar"/>
    <w:uiPriority w:val="99"/>
    <w:unhideWhenUsed/>
    <w:rsid w:val="00A309B6"/>
    <w:rPr>
      <w:sz w:val="20"/>
      <w:szCs w:val="20"/>
    </w:rPr>
  </w:style>
  <w:style w:type="character" w:customStyle="1" w:styleId="FootnoteTextChar">
    <w:name w:val="Footnote Text Char"/>
    <w:basedOn w:val="DefaultParagraphFont"/>
    <w:link w:val="FootnoteText"/>
    <w:uiPriority w:val="99"/>
    <w:rsid w:val="00A309B6"/>
    <w:rPr>
      <w:sz w:val="20"/>
      <w:szCs w:val="20"/>
    </w:rPr>
  </w:style>
  <w:style w:type="character" w:styleId="FootnoteReference">
    <w:name w:val="footnote reference"/>
    <w:basedOn w:val="DefaultParagraphFont"/>
    <w:link w:val="Char2"/>
    <w:uiPriority w:val="99"/>
    <w:unhideWhenUsed/>
    <w:qFormat/>
    <w:rsid w:val="00A309B6"/>
    <w:rPr>
      <w:vertAlign w:val="superscript"/>
    </w:rPr>
  </w:style>
  <w:style w:type="paragraph" w:customStyle="1" w:styleId="Char2">
    <w:name w:val="Char2"/>
    <w:basedOn w:val="Normal"/>
    <w:link w:val="FootnoteReference"/>
    <w:uiPriority w:val="99"/>
    <w:rsid w:val="00A309B6"/>
    <w:pPr>
      <w:spacing w:line="240" w:lineRule="exact"/>
      <w:ind w:firstLine="357"/>
      <w:jc w:val="both"/>
    </w:pPr>
    <w:rPr>
      <w:vertAlign w:val="superscript"/>
    </w:rPr>
  </w:style>
  <w:style w:type="paragraph" w:styleId="Title">
    <w:name w:val="Title"/>
    <w:basedOn w:val="Normal"/>
    <w:next w:val="Normal"/>
    <w:link w:val="TitleChar"/>
    <w:uiPriority w:val="10"/>
    <w:qFormat/>
    <w:rsid w:val="001725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559"/>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rsid w:val="00FF164D"/>
    <w:pPr>
      <w:overflowPunct w:val="0"/>
      <w:autoSpaceDE w:val="0"/>
      <w:autoSpaceDN w:val="0"/>
      <w:adjustRightInd w:val="0"/>
      <w:ind w:firstLine="357"/>
      <w:textAlignment w:val="baseline"/>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951946"/>
    <w:rPr>
      <w:rFonts w:ascii="Tahoma" w:hAnsi="Tahoma"/>
      <w:b w:val="0"/>
      <w:sz w:val="20"/>
    </w:rPr>
  </w:style>
  <w:style w:type="paragraph" w:styleId="TOCHeading">
    <w:name w:val="TOC Heading"/>
    <w:basedOn w:val="Heading1"/>
    <w:next w:val="Normal"/>
    <w:uiPriority w:val="39"/>
    <w:unhideWhenUsed/>
    <w:qFormat/>
    <w:rsid w:val="00C573AB"/>
    <w:pPr>
      <w:keepNext/>
      <w:keepLines/>
      <w:widowControl/>
      <w:numPr>
        <w:numId w:val="0"/>
      </w:numPr>
      <w:spacing w:before="240" w:line="259" w:lineRule="auto"/>
      <w:contextualSpacing w:val="0"/>
      <w:outlineLvl w:val="9"/>
    </w:pPr>
    <w:rPr>
      <w:rFonts w:asciiTheme="majorHAnsi" w:eastAsiaTheme="majorEastAsia" w:hAnsiTheme="majorHAnsi" w:cstheme="majorBidi"/>
      <w:b w:val="0"/>
      <w:color w:val="748025" w:themeColor="accent1" w:themeShade="BF"/>
      <w:sz w:val="32"/>
      <w:szCs w:val="32"/>
      <w:lang w:val="en-US"/>
    </w:rPr>
  </w:style>
  <w:style w:type="paragraph" w:styleId="TOC1">
    <w:name w:val="toc 1"/>
    <w:basedOn w:val="Normal"/>
    <w:next w:val="Normal"/>
    <w:autoRedefine/>
    <w:uiPriority w:val="39"/>
    <w:unhideWhenUsed/>
    <w:rsid w:val="00C573AB"/>
    <w:pPr>
      <w:spacing w:after="100"/>
    </w:pPr>
  </w:style>
  <w:style w:type="paragraph" w:styleId="TOC2">
    <w:name w:val="toc 2"/>
    <w:basedOn w:val="Normal"/>
    <w:next w:val="Normal"/>
    <w:autoRedefine/>
    <w:uiPriority w:val="39"/>
    <w:unhideWhenUsed/>
    <w:rsid w:val="00C573AB"/>
    <w:pPr>
      <w:spacing w:after="100"/>
      <w:ind w:left="240"/>
    </w:pPr>
  </w:style>
  <w:style w:type="paragraph" w:styleId="TOC3">
    <w:name w:val="toc 3"/>
    <w:basedOn w:val="Normal"/>
    <w:next w:val="Normal"/>
    <w:autoRedefine/>
    <w:uiPriority w:val="39"/>
    <w:unhideWhenUsed/>
    <w:rsid w:val="00042E62"/>
    <w:pPr>
      <w:spacing w:after="100"/>
      <w:ind w:left="480"/>
    </w:pPr>
  </w:style>
  <w:style w:type="paragraph" w:styleId="Revision">
    <w:name w:val="Revision"/>
    <w:hidden/>
    <w:uiPriority w:val="99"/>
    <w:semiHidden/>
    <w:rsid w:val="00EC00A4"/>
  </w:style>
  <w:style w:type="character" w:customStyle="1" w:styleId="apple-converted-space">
    <w:name w:val="apple-converted-space"/>
    <w:basedOn w:val="DefaultParagraphFont"/>
    <w:rsid w:val="00B35F71"/>
  </w:style>
  <w:style w:type="character" w:customStyle="1" w:styleId="cf01">
    <w:name w:val="cf01"/>
    <w:basedOn w:val="DefaultParagraphFont"/>
    <w:rsid w:val="0048523A"/>
    <w:rPr>
      <w:rFonts w:ascii="Segoe UI" w:hAnsi="Segoe UI" w:cs="Segoe UI" w:hint="default"/>
      <w:sz w:val="18"/>
      <w:szCs w:val="18"/>
    </w:rPr>
  </w:style>
  <w:style w:type="paragraph" w:styleId="HTMLPreformatted">
    <w:name w:val="HTML Preformatted"/>
    <w:basedOn w:val="Normal"/>
    <w:link w:val="HTMLPreformattedChar"/>
    <w:uiPriority w:val="99"/>
    <w:semiHidden/>
    <w:unhideWhenUsed/>
    <w:rsid w:val="00EC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EC0968"/>
    <w:rPr>
      <w:rFonts w:ascii="Courier New" w:eastAsia="Times New Roman" w:hAnsi="Courier New" w:cs="Courier New"/>
      <w:sz w:val="20"/>
      <w:szCs w:val="20"/>
      <w:lang w:eastAsia="da-DK"/>
    </w:rPr>
  </w:style>
  <w:style w:type="character" w:customStyle="1" w:styleId="y2iqfc">
    <w:name w:val="y2iqfc"/>
    <w:basedOn w:val="DefaultParagraphFont"/>
    <w:rsid w:val="00EC0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04097626">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53521139">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909459267">
      <w:bodyDiv w:val="1"/>
      <w:marLeft w:val="0"/>
      <w:marRight w:val="0"/>
      <w:marTop w:val="0"/>
      <w:marBottom w:val="0"/>
      <w:divBdr>
        <w:top w:val="none" w:sz="0" w:space="0" w:color="auto"/>
        <w:left w:val="none" w:sz="0" w:space="0" w:color="auto"/>
        <w:bottom w:val="none" w:sz="0" w:space="0" w:color="auto"/>
        <w:right w:val="none" w:sz="0" w:space="0" w:color="auto"/>
      </w:divBdr>
    </w:div>
    <w:div w:id="1216963075">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55423163">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446464587">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75203040">
      <w:bodyDiv w:val="1"/>
      <w:marLeft w:val="0"/>
      <w:marRight w:val="0"/>
      <w:marTop w:val="0"/>
      <w:marBottom w:val="0"/>
      <w:divBdr>
        <w:top w:val="none" w:sz="0" w:space="0" w:color="auto"/>
        <w:left w:val="none" w:sz="0" w:space="0" w:color="auto"/>
        <w:bottom w:val="none" w:sz="0" w:space="0" w:color="auto"/>
        <w:right w:val="none" w:sz="0" w:space="0" w:color="auto"/>
      </w:divBdr>
    </w:div>
    <w:div w:id="18643233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 w:id="2117600550">
      <w:bodyDiv w:val="1"/>
      <w:marLeft w:val="0"/>
      <w:marRight w:val="0"/>
      <w:marTop w:val="0"/>
      <w:marBottom w:val="0"/>
      <w:divBdr>
        <w:top w:val="none" w:sz="0" w:space="0" w:color="auto"/>
        <w:left w:val="none" w:sz="0" w:space="0" w:color="auto"/>
        <w:bottom w:val="none" w:sz="0" w:space="0" w:color="auto"/>
        <w:right w:val="none" w:sz="0" w:space="0" w:color="auto"/>
      </w:divBdr>
    </w:div>
    <w:div w:id="2126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nexus" TargetMode="External"/><Relationship Id="rId18" Type="http://schemas.openxmlformats.org/officeDocument/2006/relationships/hyperlink" Target="http://www.spormedia.dk/global-stay-tou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yperlink" Target="http://www.globalkids.dk/" TargetMode="External"/><Relationship Id="rId2" Type="http://schemas.openxmlformats.org/officeDocument/2006/relationships/customXml" Target="../customXml/item2.xml"/><Relationship Id="rId16" Type="http://schemas.openxmlformats.org/officeDocument/2006/relationships/hyperlink" Target="https://culpeer-for-change.eu/e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nexus" TargetMode="External"/><Relationship Id="rId5" Type="http://schemas.openxmlformats.org/officeDocument/2006/relationships/numbering" Target="numbering.xml"/><Relationship Id="rId15" Type="http://schemas.openxmlformats.org/officeDocument/2006/relationships/hyperlink" Target="http://www.spormedia.dk/globalstaytou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skemae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country/namibia/overviewin" TargetMode="External"/><Relationship Id="rId7" Type="http://schemas.openxmlformats.org/officeDocument/2006/relationships/hyperlink" Target="https://d3rp5jatom3eyn.cloudfront.net/cms/assets/documents/NIDS_2016.pdf" TargetMode="External"/><Relationship Id="rId2" Type="http://schemas.openxmlformats.org/officeDocument/2006/relationships/hyperlink" Target="https://d3rp5jatom3eyn.cloudfront.net/cms/assets/documents/NIDS_2016.pdf" TargetMode="External"/><Relationship Id="rId1" Type="http://schemas.openxmlformats.org/officeDocument/2006/relationships/hyperlink" Target="http://www.gov.na/documents/10181/14134/Namibia_Constitution.pdf/37b70b76-c15c-45d4-9095-b25d8b8aa0fb" TargetMode="External"/><Relationship Id="rId6" Type="http://schemas.openxmlformats.org/officeDocument/2006/relationships/hyperlink" Target="https://d3rp5jatom3eyn.cloudfront.net/cms/assets/documents/NIDS_2016.pdf" TargetMode="External"/><Relationship Id="rId5" Type="http://schemas.openxmlformats.org/officeDocument/2006/relationships/hyperlink" Target="https://data.worldbank.org/indicator/SI.POV.GINI?locations=NA" TargetMode="External"/><Relationship Id="rId4" Type="http://schemas.openxmlformats.org/officeDocument/2006/relationships/hyperlink" Target="https://www.unaids.org/sites/default/files/media_asset/90-90-90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3D3135B01514A9FE917A46A56CE85" ma:contentTypeVersion="10" ma:contentTypeDescription="Create a new document." ma:contentTypeScope="" ma:versionID="1642a04b905eef7bd2c7ce029fe9aece">
  <xsd:schema xmlns:xsd="http://www.w3.org/2001/XMLSchema" xmlns:xs="http://www.w3.org/2001/XMLSchema" xmlns:p="http://schemas.microsoft.com/office/2006/metadata/properties" xmlns:ns3="51428349-f37f-4a16-a67d-1213c9b9430d" targetNamespace="http://schemas.microsoft.com/office/2006/metadata/properties" ma:root="true" ma:fieldsID="492e97db26d8393ea6a12b02af998c0c" ns3:_="">
    <xsd:import namespace="51428349-f37f-4a16-a67d-1213c9b943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28349-f37f-4a16-a67d-1213c9b943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953F6-F898-46B7-A18C-8F4C7E79455B}">
  <ds:schemaRefs>
    <ds:schemaRef ds:uri="http://schemas.microsoft.com/sharepoint/v3/contenttype/forms"/>
  </ds:schemaRefs>
</ds:datastoreItem>
</file>

<file path=customXml/itemProps2.xml><?xml version="1.0" encoding="utf-8"?>
<ds:datastoreItem xmlns:ds="http://schemas.openxmlformats.org/officeDocument/2006/customXml" ds:itemID="{D3573185-E77E-4F54-8CC1-115F39A1D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28349-f37f-4a16-a67d-1213c9b94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B9DEF-4AA2-4A56-9A6C-C218BB558F13}">
  <ds:schemaRefs>
    <ds:schemaRef ds:uri="http://schemas.openxmlformats.org/officeDocument/2006/bibliography"/>
  </ds:schemaRefs>
</ds:datastoreItem>
</file>

<file path=customXml/itemProps4.xml><?xml version="1.0" encoding="utf-8"?>
<ds:datastoreItem xmlns:ds="http://schemas.openxmlformats.org/officeDocument/2006/customXml" ds:itemID="{058D62D8-5ED9-47BB-94CF-279A3F4892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13970</Words>
  <Characters>79635</Characters>
  <Application>Microsoft Office Word</Application>
  <DocSecurity>0</DocSecurity>
  <Lines>663</Lines>
  <Paragraphs>186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Carsten Norgaard</cp:lastModifiedBy>
  <cp:revision>13</cp:revision>
  <cp:lastPrinted>2022-07-05T06:41:00Z</cp:lastPrinted>
  <dcterms:created xsi:type="dcterms:W3CDTF">2022-09-13T06:37:00Z</dcterms:created>
  <dcterms:modified xsi:type="dcterms:W3CDTF">2022-09-13T06:51:00Z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0x0101005553D3135B01514A9FE917A46A56CE85</vt:lpwstr>
  </property>
</Properties>
</file>